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BF7B59" w:rsidRDefault="00C57B0F">
      <w:pPr>
        <w:spacing w:after="160" w:line="259" w:lineRule="auto"/>
        <w:rPr>
          <w:rFonts w:eastAsia="Calibri"/>
          <w:sz w:val="20"/>
          <w:szCs w:val="20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BF7B59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BF7B59" w:rsidRDefault="008F7BC0">
            <w:pPr>
              <w:jc w:val="center"/>
              <w:rPr>
                <w:rFonts w:eastAsia="Calibri"/>
                <w:sz w:val="20"/>
                <w:szCs w:val="20"/>
              </w:rPr>
            </w:pPr>
            <w:r w:rsidRPr="00BF7B59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210486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BF7B59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  <w:p w14:paraId="0BA125F2" w14:textId="77777777" w:rsidR="00C57B0F" w:rsidRPr="00BF7B59" w:rsidRDefault="006F219D">
            <w:pPr>
              <w:rPr>
                <w:rFonts w:eastAsia="Calibri"/>
                <w:color w:val="ED7D31"/>
                <w:sz w:val="20"/>
                <w:szCs w:val="20"/>
              </w:rPr>
            </w:pPr>
            <w:r w:rsidRPr="00BF7B59">
              <w:rPr>
                <w:rFonts w:eastAsia="Calibri"/>
                <w:color w:val="ED7D31"/>
                <w:sz w:val="20"/>
                <w:szCs w:val="20"/>
              </w:rPr>
              <w:t>ACTIVIDAD DIDÁCTICA CUESTIONARIO</w:t>
            </w:r>
          </w:p>
          <w:p w14:paraId="4039611F" w14:textId="77777777" w:rsidR="00C57B0F" w:rsidRPr="00BF7B59" w:rsidRDefault="00C57B0F">
            <w:pPr>
              <w:jc w:val="center"/>
              <w:rPr>
                <w:rFonts w:eastAsia="Calibri"/>
                <w:sz w:val="20"/>
                <w:szCs w:val="20"/>
              </w:rPr>
            </w:pPr>
          </w:p>
        </w:tc>
      </w:tr>
      <w:tr w:rsidR="00C57B0F" w:rsidRPr="00BF7B59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BF7B59" w:rsidRDefault="006F219D" w:rsidP="00C0495F">
            <w:pPr>
              <w:spacing w:after="16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segunda persona</w:t>
            </w: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7778E7D9" w14:textId="3580D3ED" w:rsidR="00C57B0F" w:rsidRPr="00BF7B59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eastAsia="Calibri"/>
                <w:b w:val="0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Pr="00BF7B59" w:rsidRDefault="006F219D">
            <w:pPr>
              <w:spacing w:after="160"/>
              <w:rPr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57B0F" w:rsidRPr="00BF7B59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Instrucciones para el aprendiz</w:t>
            </w:r>
          </w:p>
          <w:p w14:paraId="27C06636" w14:textId="77777777" w:rsidR="00C57B0F" w:rsidRPr="00BF7B59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  <w:p w14:paraId="1B1DE622" w14:textId="77777777" w:rsidR="00C57B0F" w:rsidRPr="00BF7B59" w:rsidRDefault="00C57B0F">
            <w:pPr>
              <w:rPr>
                <w:rFonts w:eastAsia="Calibri"/>
                <w:color w:val="595959"/>
                <w:sz w:val="20"/>
                <w:szCs w:val="20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  <w:p w14:paraId="0E4EB1B2" w14:textId="1433C475" w:rsidR="00C57B0F" w:rsidRPr="00BF7B5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  <w:shd w:val="clear" w:color="auto" w:fill="FFE599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Esta actividad le permitirá determinar el grado de apropiación de los contenidos del componente formativ</w:t>
            </w:r>
            <w:r w:rsidR="00CB4868" w:rsidRPr="00BF7B59">
              <w:rPr>
                <w:rFonts w:eastAsia="Calibri"/>
                <w:color w:val="000000"/>
                <w:sz w:val="20"/>
                <w:szCs w:val="20"/>
              </w:rPr>
              <w:t xml:space="preserve">o </w:t>
            </w:r>
            <w:r w:rsidR="001923BE">
              <w:rPr>
                <w:rFonts w:eastAsia="Calibri"/>
                <w:color w:val="000000"/>
                <w:sz w:val="20"/>
                <w:szCs w:val="20"/>
              </w:rPr>
              <w:t>Propuesta comercial</w:t>
            </w:r>
            <w:r w:rsidR="000D6787" w:rsidRPr="00BF7B59">
              <w:rPr>
                <w:rFonts w:eastAsia="Calibri"/>
                <w:color w:val="000000"/>
                <w:sz w:val="20"/>
                <w:szCs w:val="20"/>
                <w:shd w:val="clear" w:color="auto" w:fill="D9D9D9" w:themeFill="background1" w:themeFillShade="D9"/>
              </w:rPr>
              <w:t>.</w:t>
            </w:r>
          </w:p>
          <w:p w14:paraId="7C03BC59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365D957F" w14:textId="77777777" w:rsidR="00C57B0F" w:rsidRPr="00BF7B5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</w:p>
          <w:p w14:paraId="204F56E3" w14:textId="52621414" w:rsidR="00C57B0F" w:rsidRPr="00BF7B59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</w:rPr>
            </w:pPr>
            <w:r w:rsidRPr="00BF7B59">
              <w:rPr>
                <w:rFonts w:eastAsia="Calibri"/>
                <w:color w:val="000000"/>
                <w:sz w:val="20"/>
                <w:szCs w:val="20"/>
              </w:rPr>
              <w:t>Lea la afirmación de cada ítem y luego señale verdadero o falso según corresponda.</w:t>
            </w:r>
          </w:p>
          <w:p w14:paraId="1EC50D8C" w14:textId="77777777" w:rsidR="00C57B0F" w:rsidRPr="00BF7B59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</w:p>
        </w:tc>
      </w:tr>
      <w:tr w:rsidR="00C57B0F" w:rsidRPr="00BF7B59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7BABFA40" w:rsidR="00C57B0F" w:rsidRPr="00BF7B59" w:rsidRDefault="00852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852539">
              <w:rPr>
                <w:color w:val="auto"/>
                <w:sz w:val="20"/>
                <w:szCs w:val="20"/>
              </w:rPr>
              <w:t>Dominando las propuestas comerciales digitales</w:t>
            </w:r>
            <w:r w:rsidRPr="00852539">
              <w:rPr>
                <w:color w:val="auto"/>
                <w:sz w:val="20"/>
                <w:szCs w:val="20"/>
              </w:rPr>
              <w:t>.</w:t>
            </w:r>
          </w:p>
        </w:tc>
      </w:tr>
      <w:tr w:rsidR="00C57B0F" w:rsidRPr="00BF7B59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582E4BBE" w:rsidR="00C57B0F" w:rsidRPr="00BF7B59" w:rsidRDefault="00F03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F03B02">
              <w:rPr>
                <w:color w:val="000000" w:themeColor="text1"/>
                <w:sz w:val="20"/>
                <w:szCs w:val="20"/>
              </w:rPr>
              <w:t>Identificar, comprender y aplicar los conceptos clave relacionados con el marketing digital, el cliente digital, las capacidades empresariales, la estructura de propuestas comerciales y las herramientas de presentación, mediante preguntas tipo verdadero/falso que promuevan el razonamiento crítico y la reafirmación conceptual</w:t>
            </w:r>
            <w:r w:rsidR="00863C6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C57B0F" w:rsidRPr="00BF7B59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BF7B59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BF7B59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BF7B59" w:rsidRDefault="006F219D">
            <w:pPr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PREGUNTAS</w:t>
            </w:r>
          </w:p>
        </w:tc>
      </w:tr>
      <w:tr w:rsidR="00C57B0F" w:rsidRPr="00BF7B59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94D323E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1</w:t>
            </w:r>
            <w:r w:rsidR="00795A33" w:rsidRPr="00BF7B59">
              <w:rPr>
                <w:rFonts w:eastAsia="Calibri"/>
                <w:color w:val="595959"/>
                <w:sz w:val="20"/>
                <w:szCs w:val="20"/>
              </w:rPr>
              <w:t xml:space="preserve"> </w:t>
            </w:r>
            <w:r w:rsidR="00795A33" w:rsidRPr="00BF7B59">
              <w:rPr>
                <w:rFonts w:eastAsia="Calibri"/>
                <w:color w:val="FDE9D9" w:themeColor="accent6" w:themeTint="33"/>
                <w:sz w:val="20"/>
                <w:szCs w:val="20"/>
              </w:rPr>
              <w:t>Tema 1</w:t>
            </w:r>
          </w:p>
        </w:tc>
        <w:tc>
          <w:tcPr>
            <w:tcW w:w="5460" w:type="dxa"/>
          </w:tcPr>
          <w:p w14:paraId="73542B6F" w14:textId="2FF39BCA" w:rsidR="00C57B0F" w:rsidRPr="00066D41" w:rsidRDefault="00C94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bCs/>
                <w:sz w:val="20"/>
                <w:szCs w:val="20"/>
              </w:rPr>
            </w:pPr>
            <w:r w:rsidRPr="000E0DA3">
              <w:rPr>
                <w:color w:val="auto"/>
              </w:rPr>
              <w:t>El marketing digital se basa únicamente en la promoción de productos en redes sociales</w:t>
            </w:r>
            <w:r w:rsidR="00066D41" w:rsidRPr="002E5C3F">
              <w:rPr>
                <w:color w:val="auto"/>
              </w:rPr>
              <w:t>.</w:t>
            </w:r>
          </w:p>
        </w:tc>
        <w:tc>
          <w:tcPr>
            <w:tcW w:w="2160" w:type="dxa"/>
          </w:tcPr>
          <w:p w14:paraId="7F132666" w14:textId="77777777" w:rsidR="00C57B0F" w:rsidRPr="00BF7B59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proofErr w:type="spellStart"/>
            <w:r w:rsidRPr="00BF7B59">
              <w:rPr>
                <w:rFonts w:eastAsia="Calibri"/>
                <w:color w:val="AEAAAA"/>
                <w:sz w:val="20"/>
                <w:szCs w:val="20"/>
              </w:rPr>
              <w:t>Rta</w:t>
            </w:r>
            <w:proofErr w:type="spellEnd"/>
            <w:r w:rsidRPr="00BF7B59">
              <w:rPr>
                <w:rFonts w:eastAsia="Calibri"/>
                <w:color w:val="AEAAAA"/>
                <w:sz w:val="20"/>
                <w:szCs w:val="20"/>
              </w:rPr>
              <w:t>(s) correcta(s) (x)</w:t>
            </w:r>
          </w:p>
        </w:tc>
      </w:tr>
      <w:tr w:rsidR="00C57B0F" w:rsidRPr="00BF7B59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1989D12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BF7B59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2E92577B" w:rsidR="00C57B0F" w:rsidRPr="00BF7B59" w:rsidRDefault="000F016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EDEFA9C" w:rsidR="00C57B0F" w:rsidRPr="00881224" w:rsidRDefault="00881224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0E0DA3">
              <w:rPr>
                <w:color w:val="auto"/>
              </w:rPr>
              <w:t>Muy bien, el marketing digital abarca mucho más: incluye segmentación, experiencia de usuario, automatización, analítica y relaciones interactivas.</w:t>
            </w:r>
          </w:p>
        </w:tc>
      </w:tr>
      <w:tr w:rsidR="00C57B0F" w:rsidRPr="00BF7B59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BF7B59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514BC40C" w:rsidR="00C57B0F" w:rsidRPr="00BF7B59" w:rsidRDefault="006B7B7D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0E0DA3">
              <w:rPr>
                <w:color w:val="auto"/>
              </w:rPr>
              <w:t>Uno de los principios fundamentales del marketing digital es la personalización del contenido.</w:t>
            </w:r>
          </w:p>
        </w:tc>
      </w:tr>
      <w:tr w:rsidR="00C57B0F" w:rsidRPr="00BF7B59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61586408" w:rsidR="00C57B0F" w:rsidRPr="00BF7B59" w:rsidRDefault="0050688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</w:tcPr>
          <w:p w14:paraId="20A71059" w14:textId="3501CB70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78C92A78" w:rsidR="00A9514B" w:rsidRPr="00BF7B59" w:rsidRDefault="00506882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0E0DA3">
              <w:rPr>
                <w:color w:val="auto"/>
              </w:rPr>
              <w:t>Excelente, personalizar el mensaje según el perfil del usuario mejora la relevancia y las tasas de conversión</w:t>
            </w:r>
            <w:r w:rsidRPr="002E5C3F">
              <w:rPr>
                <w:color w:val="auto"/>
              </w:rPr>
              <w:t>.</w:t>
            </w:r>
          </w:p>
        </w:tc>
      </w:tr>
      <w:tr w:rsidR="00A9514B" w:rsidRPr="00BF7B59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08D50D49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364DB100" w:rsidR="00C57B0F" w:rsidRPr="00BF7B59" w:rsidRDefault="003F2B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0E0DA3">
              <w:rPr>
                <w:color w:val="auto"/>
              </w:rPr>
              <w:t>El análisis del entorno digital permite anticipar movimientos del mercado y ajustar propuestas.</w:t>
            </w:r>
          </w:p>
        </w:tc>
      </w:tr>
      <w:tr w:rsidR="00C57B0F" w:rsidRPr="00BF7B59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</w:tcPr>
          <w:p w14:paraId="2DEA1E69" w14:textId="5359B7CF" w:rsidR="00C57B0F" w:rsidRPr="00BF7B59" w:rsidRDefault="00BE5AA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5FC096A1" w:rsidR="00C57B0F" w:rsidRPr="00BF7B59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33ED50D3" w:rsidR="00A9514B" w:rsidRPr="00BF7B59" w:rsidRDefault="00BE5AA2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0E0DA3">
              <w:rPr>
                <w:color w:val="auto"/>
              </w:rPr>
              <w:t>Así es, este análisis posibilita decisiones estratégicas informadas y adaptativas.</w:t>
            </w:r>
          </w:p>
        </w:tc>
      </w:tr>
      <w:tr w:rsidR="00A9514B" w:rsidRPr="00BF7B59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690F900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0C9E5BC0" w:rsidR="00C57B0F" w:rsidRPr="00BF7B59" w:rsidRDefault="00F73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0E0DA3">
              <w:rPr>
                <w:color w:val="auto"/>
              </w:rPr>
              <w:t>El cliente digital espera inmediatez, personalización y comunicación clara por parte de la marca.</w:t>
            </w:r>
          </w:p>
        </w:tc>
      </w:tr>
      <w:tr w:rsidR="00C57B0F" w:rsidRPr="00BF7B59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981FD6B" w:rsidR="00C57B0F" w:rsidRPr="00BF7B59" w:rsidRDefault="00AB27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C533385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1718836" w:rsidR="00A9514B" w:rsidRPr="00BF7B59" w:rsidRDefault="005D7100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0E0DA3">
              <w:rPr>
                <w:color w:val="auto"/>
              </w:rPr>
              <w:t>Muy bien, esas expectativas son clave en la experiencia digital actual.</w:t>
            </w:r>
          </w:p>
        </w:tc>
      </w:tr>
      <w:tr w:rsidR="00A9514B" w:rsidRPr="00BF7B59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6EC17F42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240125BD" w:rsidR="00C57B0F" w:rsidRPr="00BF7B59" w:rsidRDefault="00A5392A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0E0DA3">
              <w:rPr>
                <w:color w:val="auto"/>
              </w:rPr>
              <w:t>El perfilamiento conductual considera los valores y estilo de vida del cliente.</w:t>
            </w:r>
          </w:p>
        </w:tc>
      </w:tr>
      <w:tr w:rsidR="00C57B0F" w:rsidRPr="00BF7B59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BF7B59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F1FEB3F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C57B0F" w:rsidRPr="00BF7B59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BF7B59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62CBDDA5" w:rsidR="00C57B0F" w:rsidRPr="00BF7B59" w:rsidRDefault="00A5392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691A171F" w:rsidR="00A9514B" w:rsidRPr="00BF7B59" w:rsidRDefault="00705276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 w:rsidRPr="000E0DA3">
              <w:rPr>
                <w:color w:val="auto"/>
              </w:rPr>
              <w:t>Correcto, esos aspectos corresponden al perfilamiento psicográfico. El conductual analiza hábitos como frecuencia de compra.</w:t>
            </w:r>
          </w:p>
        </w:tc>
      </w:tr>
      <w:tr w:rsidR="00A9514B" w:rsidRPr="00BF7B59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41B6B33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C57B0F" w:rsidRPr="00BF7B59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 xml:space="preserve">Pregunta </w:t>
            </w:r>
            <w:r w:rsidR="00EA1809" w:rsidRPr="00BF7B59">
              <w:rPr>
                <w:rFonts w:eastAsia="Calibri"/>
                <w:color w:val="595959"/>
                <w:sz w:val="20"/>
                <w:szCs w:val="20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B6B7364" w:rsidR="00C57B0F" w:rsidRPr="00BF7B59" w:rsidRDefault="00160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</w:rPr>
            </w:pPr>
            <w:r w:rsidRPr="000E0DA3">
              <w:rPr>
                <w:color w:val="auto"/>
              </w:rPr>
              <w:t xml:space="preserve">Los mapas de calor y </w:t>
            </w:r>
            <w:proofErr w:type="gramStart"/>
            <w:r w:rsidRPr="000E0DA3">
              <w:rPr>
                <w:color w:val="auto"/>
              </w:rPr>
              <w:t>los test</w:t>
            </w:r>
            <w:proofErr w:type="gramEnd"/>
            <w:r w:rsidRPr="000E0DA3">
              <w:rPr>
                <w:color w:val="auto"/>
              </w:rPr>
              <w:t xml:space="preserve"> A/B son técnicas para analizar el comportamiento del cliente digital.</w:t>
            </w:r>
          </w:p>
        </w:tc>
      </w:tr>
      <w:tr w:rsidR="00C57B0F" w:rsidRPr="00BF7B59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BF7B59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5065D995" w:rsidR="00C57B0F" w:rsidRPr="00BF7B59" w:rsidRDefault="00160C6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C57B0F" w:rsidRPr="00BF7B59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BF7B59" w:rsidRDefault="006F219D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BF7B59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306DE1F7" w:rsidR="00C57B0F" w:rsidRPr="00BF7B59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03BEDD49" w:rsidR="00A9514B" w:rsidRPr="00BF7B59" w:rsidRDefault="00563571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Así es, ambas herramientas ayudan a mejorar diseño y efectividad de contenidos.</w:t>
            </w:r>
          </w:p>
        </w:tc>
      </w:tr>
      <w:tr w:rsidR="00A9514B" w:rsidRPr="00BF7B59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4C90AF7D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147FBAF" w:rsidR="00075BDE" w:rsidRPr="00BF7B59" w:rsidRDefault="00ED6312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Los planes de mercadeo no influyen en el diseño de propuestas comerciales digitales.</w:t>
            </w:r>
          </w:p>
        </w:tc>
      </w:tr>
      <w:tr w:rsidR="00075BDE" w:rsidRPr="00BF7B59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51C5382A" w:rsidR="00075BDE" w:rsidRPr="00BF7B5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BF7B59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15DB7E18" w:rsidR="00075BDE" w:rsidRPr="00BF7B59" w:rsidRDefault="00E17618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208112F2" w:rsidR="00A9514B" w:rsidRPr="00BF7B59" w:rsidRDefault="00E17618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Muy bien, los planes de mercadeo son la base estratégica de toda propuesta comercial.</w:t>
            </w:r>
          </w:p>
        </w:tc>
      </w:tr>
      <w:tr w:rsidR="00A9514B" w:rsidRPr="00BF7B59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6B6C1178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0D08DF85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8</w:t>
            </w:r>
            <w:r w:rsidR="00CD363A" w:rsidRPr="00BF7B59">
              <w:rPr>
                <w:rFonts w:eastAsia="Calibri"/>
                <w:color w:val="595959"/>
                <w:sz w:val="20"/>
                <w:szCs w:val="20"/>
              </w:rPr>
              <w:t xml:space="preserve"> </w:t>
            </w:r>
            <w:r w:rsidR="00CD363A" w:rsidRPr="00BF7B59">
              <w:rPr>
                <w:rFonts w:eastAsia="Calibri"/>
                <w:color w:val="FDE9D9" w:themeColor="accent6" w:themeTint="33"/>
                <w:sz w:val="20"/>
                <w:szCs w:val="20"/>
              </w:rPr>
              <w:t>Tema 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06891960" w:rsidR="00075BDE" w:rsidRPr="00BF7B59" w:rsidRDefault="00157CA8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Una logística efectiva mejora la percepción del cliente y la competitividad de la propuesta.</w:t>
            </w:r>
          </w:p>
        </w:tc>
      </w:tr>
      <w:tr w:rsidR="00075BDE" w:rsidRPr="00BF7B59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6574A6FA" w:rsidR="00075BDE" w:rsidRPr="00BF7B59" w:rsidRDefault="00280F41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BF7B59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470FB12A" w:rsidR="00075BDE" w:rsidRPr="00BF7B5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28F19697" w:rsidR="00A9514B" w:rsidRPr="00BF7B59" w:rsidRDefault="00280F41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Excelente, la eficiencia operativa respalda la promesa comercial.</w:t>
            </w:r>
          </w:p>
        </w:tc>
      </w:tr>
      <w:tr w:rsidR="00A9514B" w:rsidRPr="00BF7B59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708C8622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7875DBC8" w:rsidR="00075BDE" w:rsidRPr="00BF7B59" w:rsidRDefault="00606D20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sz w:val="20"/>
                <w:szCs w:val="20"/>
                <w:lang w:val="es-CO"/>
              </w:rPr>
            </w:pPr>
            <w:r w:rsidRPr="000E0DA3">
              <w:rPr>
                <w:color w:val="auto"/>
              </w:rPr>
              <w:t>Los inventarios permiten establecer políticas de devolución y garantías dentro de la propuesta.</w:t>
            </w:r>
          </w:p>
        </w:tc>
      </w:tr>
      <w:tr w:rsidR="00075BDE" w:rsidRPr="00BF7B59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5FD003BC" w:rsidR="00075BDE" w:rsidRPr="00BF7B5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075BDE" w:rsidRPr="00BF7B59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57F28770" w:rsidR="00075BDE" w:rsidRPr="00BF7B59" w:rsidRDefault="000E22D0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A9514B" w:rsidRPr="00BF7B59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5B92E11" w:rsidR="00A9514B" w:rsidRPr="00BF7B59" w:rsidRDefault="0054193C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Correcto, las políticas de devolución y garantías se establecen en los términos y condiciones. El inventario define disponibilidad.</w:t>
            </w:r>
          </w:p>
        </w:tc>
      </w:tr>
      <w:tr w:rsidR="00A9514B" w:rsidRPr="00BF7B59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BF7B59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075BDE" w:rsidRPr="00BF7B59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7E29940" w:rsidR="00075BDE" w:rsidRPr="0096492E" w:rsidRDefault="00666C04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Las pasarelas de pago y los descuentos tácticos fortalecen las propuestas comerciales en entornos digitales.</w:t>
            </w:r>
          </w:p>
        </w:tc>
      </w:tr>
      <w:tr w:rsidR="00075BDE" w:rsidRPr="00BF7B59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BF7B59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53551AEE" w:rsidR="00075BDE" w:rsidRPr="00BF7B59" w:rsidRDefault="00401A2D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>
              <w:rPr>
                <w:rFonts w:eastAsia="Calibri"/>
                <w:color w:val="auto"/>
                <w:sz w:val="20"/>
                <w:szCs w:val="20"/>
              </w:rPr>
              <w:t>X</w:t>
            </w:r>
          </w:p>
        </w:tc>
      </w:tr>
      <w:tr w:rsidR="00075BDE" w:rsidRPr="00BF7B59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BF7B59" w:rsidRDefault="00075BDE" w:rsidP="00C411F0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BF7B59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13E50C7C" w:rsidR="00075BDE" w:rsidRPr="00BF7B59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</w:p>
        </w:tc>
      </w:tr>
      <w:tr w:rsidR="00A9514B" w:rsidRPr="00BF7B59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7F10A766" w:rsidR="00A9514B" w:rsidRPr="00BF7B59" w:rsidRDefault="00FB1EBD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rPr>
                <w:color w:val="auto"/>
              </w:rPr>
              <w:t>Así es, facilitan la transacción y aumentan la conversión.</w:t>
            </w:r>
          </w:p>
        </w:tc>
      </w:tr>
      <w:tr w:rsidR="00A9514B" w:rsidRPr="00BF7B59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BF7B59" w:rsidRDefault="00A9514B" w:rsidP="00A9514B">
            <w:pPr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BF7B59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BF7B59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6ECA00DB" w:rsidR="009921BA" w:rsidRPr="00BF7B59" w:rsidRDefault="00233F97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El portafolio empresarial debe ser coherente con el tipo de cliente y canal de distribución.</w:t>
            </w:r>
          </w:p>
        </w:tc>
      </w:tr>
      <w:tr w:rsidR="009921BA" w:rsidRPr="00BF7B59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65F141A2" w:rsidR="009921BA" w:rsidRPr="00BF7B59" w:rsidRDefault="00233F97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5D0EDC2B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36F0E736" w:rsidR="009921BA" w:rsidRPr="00BF7B59" w:rsidRDefault="0087728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Muy bien, esta coherencia facilita la segmentación efectiva de la oferta.</w:t>
            </w:r>
          </w:p>
        </w:tc>
      </w:tr>
      <w:tr w:rsidR="009921BA" w:rsidRPr="00BF7B59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24868AA6" w:rsidR="009921BA" w:rsidRPr="00BF7B59" w:rsidRDefault="00DD77D2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La capacidad de producción no influye en la confiabilidad de una propuesta comercial.</w:t>
            </w:r>
          </w:p>
        </w:tc>
      </w:tr>
      <w:tr w:rsidR="009921BA" w:rsidRPr="00BF7B59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7DAF6DEC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518F17ED" w:rsidR="009921BA" w:rsidRPr="00BF7B59" w:rsidRDefault="00D86D64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1E5D8FF" w:rsidR="009921BA" w:rsidRPr="00BF7B59" w:rsidRDefault="00F1509D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Correcto, la capacidad productiva determina si lo que se ofrece puede cumplirse.</w:t>
            </w:r>
          </w:p>
        </w:tc>
      </w:tr>
      <w:tr w:rsidR="009921BA" w:rsidRPr="00BF7B59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0DCED785" w:rsidR="009921BA" w:rsidRPr="00BF7B59" w:rsidRDefault="00085818" w:rsidP="00D85D40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Una propuesta comercial persuasiva debe conectar emocionalmente con el cliente digital.</w:t>
            </w:r>
          </w:p>
        </w:tc>
      </w:tr>
      <w:tr w:rsidR="009921BA" w:rsidRPr="00BF7B59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CCA7669" w:rsidR="009921BA" w:rsidRPr="00BF7B59" w:rsidRDefault="00085818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0E9049D1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620C688" w:rsidR="009921BA" w:rsidRPr="00BF7B59" w:rsidRDefault="00465AEB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Excelente, esta conexión fortalece la decisión de compra.</w:t>
            </w:r>
          </w:p>
        </w:tc>
      </w:tr>
      <w:tr w:rsidR="009921BA" w:rsidRPr="00BF7B59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616CD258" w:rsidR="009921BA" w:rsidRPr="00BF7B59" w:rsidRDefault="005B5A1A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Las garantías y el respaldo institucional son elementos recomendables dentro de una propuesta comercial digital.</w:t>
            </w:r>
          </w:p>
        </w:tc>
      </w:tr>
      <w:tr w:rsidR="009921BA" w:rsidRPr="00BF7B59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7EE8675D" w:rsidR="009921BA" w:rsidRPr="00BF7B59" w:rsidRDefault="004C7D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703B6385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34D254B2" w:rsidR="009921BA" w:rsidRPr="00BF7B59" w:rsidRDefault="004C7D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Así es, fortalecen la credibilidad y confianza del cliente.</w:t>
            </w:r>
          </w:p>
        </w:tc>
      </w:tr>
      <w:tr w:rsidR="009921BA" w:rsidRPr="00BF7B59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9921BA" w:rsidRPr="00BF7B59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6376E679" w:rsidR="009921BA" w:rsidRPr="00BF7B59" w:rsidRDefault="00337466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Las propuestas comerciales no deben incluirse dentro del plan de mercadeo.</w:t>
            </w:r>
          </w:p>
        </w:tc>
      </w:tr>
      <w:tr w:rsidR="009921BA" w:rsidRPr="00BF7B59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7CEC37B3" w:rsidR="009921BA" w:rsidRPr="00BF7B59" w:rsidRDefault="009921B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9921BA" w:rsidRPr="00BF7B59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BF7B59" w:rsidRDefault="009921BA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6747C9A6" w:rsidR="009921BA" w:rsidRPr="00BF7B59" w:rsidRDefault="00D4257A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9921BA" w:rsidRPr="00BF7B59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480FDBB1" w:rsidR="009921BA" w:rsidRPr="00BF7B59" w:rsidRDefault="00D4257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Muy bien, su inclusión asegura alineación estratégica y coherencia en la comunicación.</w:t>
            </w:r>
          </w:p>
        </w:tc>
      </w:tr>
      <w:tr w:rsidR="009921BA" w:rsidRPr="00BF7B59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BF7B59" w:rsidRDefault="009921BA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BF7B59" w:rsidRDefault="009921BA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3FEDC93D" w:rsidR="003605E9" w:rsidRPr="00BF7B59" w:rsidRDefault="00EB309B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Las imágenes y videos en propuestas comerciales solo cumplen una función decorativa.</w:t>
            </w:r>
          </w:p>
        </w:tc>
      </w:tr>
      <w:tr w:rsidR="003605E9" w:rsidRPr="00BF7B59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55A1B7C8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9ACAA74" w:rsidR="003605E9" w:rsidRPr="00BF7B59" w:rsidRDefault="00E378D5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31C9B6CC" w:rsidR="003605E9" w:rsidRPr="00BF7B59" w:rsidRDefault="00E6431D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Correcto, también representan valor, solución y experiencia visual para el cliente.</w:t>
            </w:r>
          </w:p>
        </w:tc>
      </w:tr>
      <w:tr w:rsidR="003605E9" w:rsidRPr="00BF7B59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260D18D9" w:rsidR="003605E9" w:rsidRPr="00BF7B59" w:rsidRDefault="0046163D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La legibilidad, coherencia visual y accesibilidad técnica son indicadores de calidad documental.</w:t>
            </w:r>
          </w:p>
        </w:tc>
      </w:tr>
      <w:tr w:rsidR="003605E9" w:rsidRPr="00BF7B59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4F87A794" w:rsidR="003605E9" w:rsidRPr="00BF7B59" w:rsidRDefault="00532FD6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21E95F4B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320C4229" w:rsidR="003605E9" w:rsidRPr="00BF7B59" w:rsidRDefault="00072A76" w:rsidP="00C357B8">
            <w:pPr>
              <w:spacing w:line="240" w:lineRule="auto"/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Excelente, estos aspectos determinan la eficacia comunicativa del documento.</w:t>
            </w:r>
          </w:p>
        </w:tc>
      </w:tr>
      <w:tr w:rsidR="003605E9" w:rsidRPr="00BF7B59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051A2353" w:rsidR="003605E9" w:rsidRPr="00BF7B59" w:rsidRDefault="00276820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 xml:space="preserve">Aplicar la regla </w:t>
            </w:r>
            <w:proofErr w:type="spellStart"/>
            <w:r w:rsidRPr="000E0DA3">
              <w:t>6x6</w:t>
            </w:r>
            <w:proofErr w:type="spellEnd"/>
            <w:r w:rsidRPr="000E0DA3">
              <w:t xml:space="preserve"> en diapositivas evita la saturación de texto.</w:t>
            </w:r>
          </w:p>
        </w:tc>
      </w:tr>
      <w:tr w:rsidR="003605E9" w:rsidRPr="00BF7B59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E7B54D1" w:rsidR="003605E9" w:rsidRPr="00BF7B59" w:rsidRDefault="00EC4D66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0FF00F8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7130F081" w:rsidR="003605E9" w:rsidRPr="00BF7B59" w:rsidRDefault="00EC4D66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Muy bien, esta técnica mejora la claridad visual en presentaciones.</w:t>
            </w:r>
          </w:p>
        </w:tc>
      </w:tr>
      <w:tr w:rsidR="003605E9" w:rsidRPr="00BF7B59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158369CF" w:rsidR="003605E9" w:rsidRPr="00BF7B59" w:rsidRDefault="008271D4" w:rsidP="00DC691D">
            <w:pPr>
              <w:rPr>
                <w:rFonts w:eastAsia="Calibri"/>
                <w:color w:val="AEAAAA"/>
                <w:sz w:val="20"/>
                <w:szCs w:val="20"/>
              </w:rPr>
            </w:pPr>
            <w:r w:rsidRPr="000E0DA3">
              <w:t>La estructura narrativa “problema-solución-beneficio” ayuda a captar y mantener la atención del cliente.</w:t>
            </w:r>
          </w:p>
        </w:tc>
      </w:tr>
      <w:tr w:rsidR="003605E9" w:rsidRPr="00BF7B59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1963866F" w:rsidR="003605E9" w:rsidRPr="00BF7B59" w:rsidRDefault="0069552B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613DF529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1A28FC9C" w:rsidR="003605E9" w:rsidRPr="00BF7B59" w:rsidRDefault="0069552B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Así es, facilita el recorrido mental del receptor y refuerza el mensaje.</w:t>
            </w:r>
          </w:p>
        </w:tc>
      </w:tr>
      <w:tr w:rsidR="003605E9" w:rsidRPr="00BF7B59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  <w:tr w:rsidR="003605E9" w:rsidRPr="00BF7B59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43C9FC76" w:rsidR="003605E9" w:rsidRPr="0096492E" w:rsidRDefault="007D7F7B" w:rsidP="00DC691D">
            <w:pPr>
              <w:rPr>
                <w:rFonts w:eastAsia="Calibri"/>
                <w:b/>
                <w:bCs/>
                <w:color w:val="AEAAAA"/>
                <w:sz w:val="20"/>
                <w:szCs w:val="20"/>
              </w:rPr>
            </w:pPr>
            <w:r w:rsidRPr="000E0DA3">
              <w:t>La persuasión ética en propuestas digitales se logra combinando argumento, diseño y credibilidad.</w:t>
            </w:r>
          </w:p>
        </w:tc>
      </w:tr>
      <w:tr w:rsidR="003605E9" w:rsidRPr="00BF7B59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5345F50D" w:rsidR="003605E9" w:rsidRPr="00BF7B59" w:rsidRDefault="00907C5F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X</w:t>
            </w:r>
          </w:p>
        </w:tc>
      </w:tr>
      <w:tr w:rsidR="003605E9" w:rsidRPr="00BF7B59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BF7B59" w:rsidRDefault="003605E9" w:rsidP="00DC691D">
            <w:pPr>
              <w:rPr>
                <w:rFonts w:eastAsia="Calibri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6E6F36DC" w:rsidR="003605E9" w:rsidRPr="00BF7B59" w:rsidRDefault="003605E9" w:rsidP="00DC691D">
            <w:pPr>
              <w:widowControl w:val="0"/>
              <w:rPr>
                <w:rFonts w:eastAsia="Calibri"/>
                <w:sz w:val="20"/>
                <w:szCs w:val="20"/>
              </w:rPr>
            </w:pPr>
          </w:p>
        </w:tc>
      </w:tr>
      <w:tr w:rsidR="003605E9" w:rsidRPr="00BF7B59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6E374C70" w:rsidR="003605E9" w:rsidRPr="00BF7B59" w:rsidRDefault="00C72642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0E0DA3">
              <w:t>Excelente, el equilibrio entre forma y contenido potencia el impacto comercial.</w:t>
            </w:r>
          </w:p>
        </w:tc>
      </w:tr>
      <w:tr w:rsidR="003605E9" w:rsidRPr="00BF7B59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BF7B59" w:rsidRDefault="003605E9" w:rsidP="00DC691D">
            <w:pPr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BF7B59" w:rsidRDefault="003605E9" w:rsidP="00DC691D">
            <w:pPr>
              <w:rPr>
                <w:rFonts w:eastAsia="Calibri"/>
                <w:bCs/>
                <w:color w:val="AEAAAA"/>
                <w:sz w:val="20"/>
                <w:szCs w:val="20"/>
              </w:rPr>
            </w:pPr>
            <w:r w:rsidRPr="00BF7B59">
              <w:rPr>
                <w:rFonts w:eastAsia="Calibri"/>
                <w:sz w:val="20"/>
                <w:szCs w:val="20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BF7B59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BF7B59" w:rsidRDefault="00B11CF2" w:rsidP="00B11CF2">
            <w:pPr>
              <w:widowControl w:val="0"/>
              <w:jc w:val="center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FINAL ACTIVIDAD</w:t>
            </w:r>
          </w:p>
        </w:tc>
      </w:tr>
      <w:tr w:rsidR="00B11CF2" w:rsidRPr="00BF7B59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BF7B59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5795A2C0" w:rsidR="00B11CF2" w:rsidRPr="00BF7B59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¡Excelente! Lo felicito, ha superado la actividad y demuestra sólidos conocimientos sobre el componente formativo.</w:t>
            </w:r>
          </w:p>
        </w:tc>
      </w:tr>
      <w:tr w:rsidR="009921BA" w:rsidRPr="00BF7B59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BF7B59" w:rsidRDefault="00B11CF2" w:rsidP="00B11CF2">
            <w:pPr>
              <w:widowControl w:val="0"/>
              <w:rPr>
                <w:rFonts w:eastAsia="Calibri"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color w:val="595959"/>
                <w:sz w:val="20"/>
                <w:szCs w:val="20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BF7B59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BF7B59">
              <w:rPr>
                <w:rFonts w:eastAsia="Calibri"/>
                <w:color w:val="auto"/>
                <w:sz w:val="20"/>
                <w:szCs w:val="2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BF7B59" w:rsidRDefault="00C57B0F">
      <w:pPr>
        <w:spacing w:after="160" w:line="259" w:lineRule="auto"/>
        <w:rPr>
          <w:rFonts w:eastAsia="Calibri"/>
          <w:sz w:val="20"/>
          <w:szCs w:val="20"/>
        </w:rPr>
      </w:pPr>
    </w:p>
    <w:p w14:paraId="282C4038" w14:textId="77777777" w:rsidR="00C57B0F" w:rsidRPr="00BF7B59" w:rsidRDefault="00C57B0F">
      <w:pPr>
        <w:rPr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BF7B59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BF7B59" w:rsidRDefault="006F219D">
            <w:pPr>
              <w:widowControl w:val="0"/>
              <w:spacing w:line="240" w:lineRule="auto"/>
              <w:jc w:val="center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:rsidRPr="00BF7B59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BF7B59" w:rsidRDefault="00C57B0F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BF7B59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BF7B59" w:rsidRDefault="006F219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Fecha</w:t>
            </w:r>
          </w:p>
        </w:tc>
      </w:tr>
      <w:tr w:rsidR="00A9514B" w:rsidRPr="00BF7B59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0E17F804" w:rsidR="00A9514B" w:rsidRPr="00BF7B59" w:rsidRDefault="00A9514B" w:rsidP="00E8117C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E8117C" w:rsidRPr="00BF7B59">
              <w:rPr>
                <w:rFonts w:eastAsia="Calibri"/>
                <w:b/>
                <w:color w:val="595959"/>
                <w:sz w:val="20"/>
                <w:szCs w:val="20"/>
              </w:rPr>
              <w:t>Expert</w:t>
            </w:r>
            <w:r w:rsidR="00DA1A83">
              <w:rPr>
                <w:rFonts w:eastAsia="Calibri"/>
                <w:b/>
                <w:color w:val="595959"/>
                <w:sz w:val="20"/>
                <w:szCs w:val="20"/>
              </w:rPr>
              <w:t>o</w:t>
            </w:r>
            <w:r w:rsidR="00E8117C" w:rsidRPr="00BF7B59">
              <w:rPr>
                <w:rFonts w:eastAsia="Calibri"/>
                <w:b/>
                <w:color w:val="595959"/>
                <w:sz w:val="20"/>
                <w:szCs w:val="20"/>
              </w:rPr>
              <w:t xml:space="preserve"> temátic</w:t>
            </w:r>
            <w:r w:rsidR="00DA1A83">
              <w:rPr>
                <w:rFonts w:eastAsia="Calibri"/>
                <w:b/>
                <w:color w:val="595959"/>
                <w:sz w:val="20"/>
                <w:szCs w:val="20"/>
              </w:rPr>
              <w:t>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6132DBF9" w:rsidR="00A9514B" w:rsidRPr="00BF7B59" w:rsidRDefault="00982B0D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Nicolás Cruz Ríos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72A464AA" w:rsidR="00A9514B" w:rsidRPr="00BF7B59" w:rsidRDefault="001E26E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Ju</w:t>
            </w:r>
            <w:r w:rsidR="00DA1A83">
              <w:rPr>
                <w:rFonts w:eastAsia="Calibri"/>
                <w:b/>
                <w:color w:val="595959"/>
                <w:sz w:val="20"/>
                <w:szCs w:val="20"/>
              </w:rPr>
              <w:t>l</w:t>
            </w: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>i</w:t>
            </w:r>
            <w:r w:rsidR="00982B0D" w:rsidRPr="00BF7B59">
              <w:rPr>
                <w:rFonts w:eastAsia="Calibri"/>
                <w:b/>
                <w:color w:val="595959"/>
                <w:sz w:val="20"/>
                <w:szCs w:val="20"/>
              </w:rPr>
              <w:t>o de 2025.</w:t>
            </w:r>
          </w:p>
        </w:tc>
      </w:tr>
      <w:tr w:rsidR="00C0495F" w:rsidRPr="00BF7B59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BF7B59" w:rsidRDefault="00C0495F" w:rsidP="005D6C01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  <w:r w:rsidRPr="00BF7B59">
              <w:rPr>
                <w:rFonts w:eastAsia="Calibri"/>
                <w:b/>
                <w:color w:val="595959"/>
                <w:sz w:val="20"/>
                <w:szCs w:val="20"/>
              </w:rPr>
              <w:t xml:space="preserve">Revisión </w:t>
            </w:r>
            <w:r w:rsidR="00C85661" w:rsidRPr="00BF7B59">
              <w:rPr>
                <w:rFonts w:eastAsia="Calibri"/>
                <w:b/>
                <w:color w:val="595959"/>
                <w:sz w:val="20"/>
                <w:szCs w:val="20"/>
              </w:rPr>
              <w:t>Evaluador</w:t>
            </w:r>
            <w:r w:rsidR="008E1685" w:rsidRPr="00BF7B59">
              <w:rPr>
                <w:rFonts w:eastAsia="Calibri"/>
                <w:b/>
                <w:color w:val="595959"/>
                <w:sz w:val="20"/>
                <w:szCs w:val="20"/>
              </w:rPr>
              <w:t>a</w:t>
            </w:r>
            <w:r w:rsidR="00C85661" w:rsidRPr="00BF7B59">
              <w:rPr>
                <w:rFonts w:eastAsia="Calibri"/>
                <w:b/>
                <w:color w:val="595959"/>
                <w:sz w:val="20"/>
                <w:szCs w:val="20"/>
              </w:rPr>
              <w:t xml:space="preserve"> i</w:t>
            </w:r>
            <w:r w:rsidR="005D6C01" w:rsidRPr="00BF7B59">
              <w:rPr>
                <w:rFonts w:eastAsia="Calibri"/>
                <w:b/>
                <w:color w:val="595959"/>
                <w:sz w:val="20"/>
                <w:szCs w:val="20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5930C3C6" w:rsidR="00C0495F" w:rsidRPr="00BF7B59" w:rsidRDefault="00C0495F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3FF6E21" w:rsidR="00C0495F" w:rsidRPr="00BF7B59" w:rsidRDefault="00C0495F" w:rsidP="00736566">
            <w:pPr>
              <w:widowControl w:val="0"/>
              <w:spacing w:line="240" w:lineRule="auto"/>
              <w:rPr>
                <w:rFonts w:eastAsia="Calibri"/>
                <w:b/>
                <w:color w:val="595959"/>
                <w:sz w:val="20"/>
                <w:szCs w:val="20"/>
              </w:rPr>
            </w:pPr>
          </w:p>
        </w:tc>
      </w:tr>
    </w:tbl>
    <w:p w14:paraId="12496B24" w14:textId="77777777" w:rsidR="00C57B0F" w:rsidRPr="00BF7B59" w:rsidRDefault="00C57B0F">
      <w:pPr>
        <w:rPr>
          <w:sz w:val="20"/>
          <w:szCs w:val="20"/>
        </w:rPr>
      </w:pPr>
    </w:p>
    <w:sectPr w:rsidR="00C57B0F" w:rsidRPr="00BF7B59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DD273" w14:textId="77777777" w:rsidR="00B52BAD" w:rsidRDefault="00B52BAD">
      <w:pPr>
        <w:spacing w:line="240" w:lineRule="auto"/>
      </w:pPr>
      <w:r>
        <w:separator/>
      </w:r>
    </w:p>
  </w:endnote>
  <w:endnote w:type="continuationSeparator" w:id="0">
    <w:p w14:paraId="61217D78" w14:textId="77777777" w:rsidR="00B52BAD" w:rsidRDefault="00B52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9C428" w14:textId="77777777" w:rsidR="00B52BAD" w:rsidRDefault="00B52BAD">
      <w:pPr>
        <w:spacing w:line="240" w:lineRule="auto"/>
      </w:pPr>
      <w:r>
        <w:separator/>
      </w:r>
    </w:p>
  </w:footnote>
  <w:footnote w:type="continuationSeparator" w:id="0">
    <w:p w14:paraId="7D2D7DD6" w14:textId="77777777" w:rsidR="00B52BAD" w:rsidRDefault="00B52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82901112">
    <w:abstractNumId w:val="1"/>
  </w:num>
  <w:num w:numId="2" w16cid:durableId="80400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01842"/>
    <w:rsid w:val="0002748F"/>
    <w:rsid w:val="00050BA9"/>
    <w:rsid w:val="0005478D"/>
    <w:rsid w:val="00066D41"/>
    <w:rsid w:val="00072A76"/>
    <w:rsid w:val="00075BDE"/>
    <w:rsid w:val="00085818"/>
    <w:rsid w:val="00086384"/>
    <w:rsid w:val="0009090B"/>
    <w:rsid w:val="00092C0A"/>
    <w:rsid w:val="00093640"/>
    <w:rsid w:val="00094ABF"/>
    <w:rsid w:val="0009710C"/>
    <w:rsid w:val="000A1AA9"/>
    <w:rsid w:val="000C68FF"/>
    <w:rsid w:val="000D5BEE"/>
    <w:rsid w:val="000D6787"/>
    <w:rsid w:val="000E22D0"/>
    <w:rsid w:val="000E3ADC"/>
    <w:rsid w:val="000E5164"/>
    <w:rsid w:val="000F0162"/>
    <w:rsid w:val="000F39CD"/>
    <w:rsid w:val="00113B83"/>
    <w:rsid w:val="001268B9"/>
    <w:rsid w:val="0013183F"/>
    <w:rsid w:val="00132124"/>
    <w:rsid w:val="00134D14"/>
    <w:rsid w:val="00157CA8"/>
    <w:rsid w:val="00160C6C"/>
    <w:rsid w:val="0018141D"/>
    <w:rsid w:val="001923BE"/>
    <w:rsid w:val="001A62A0"/>
    <w:rsid w:val="001A6BDA"/>
    <w:rsid w:val="001B0219"/>
    <w:rsid w:val="001B5CD5"/>
    <w:rsid w:val="001C2159"/>
    <w:rsid w:val="001D347A"/>
    <w:rsid w:val="001D3F94"/>
    <w:rsid w:val="001D65D0"/>
    <w:rsid w:val="001E26E6"/>
    <w:rsid w:val="001E50CC"/>
    <w:rsid w:val="001F008B"/>
    <w:rsid w:val="001F0B68"/>
    <w:rsid w:val="00215539"/>
    <w:rsid w:val="00225AC9"/>
    <w:rsid w:val="00230CDA"/>
    <w:rsid w:val="00233F97"/>
    <w:rsid w:val="00243D0B"/>
    <w:rsid w:val="002541D2"/>
    <w:rsid w:val="00257389"/>
    <w:rsid w:val="00273E38"/>
    <w:rsid w:val="00276820"/>
    <w:rsid w:val="00276BA7"/>
    <w:rsid w:val="00280E46"/>
    <w:rsid w:val="00280F41"/>
    <w:rsid w:val="00281B17"/>
    <w:rsid w:val="00295CF6"/>
    <w:rsid w:val="002976FE"/>
    <w:rsid w:val="002B458C"/>
    <w:rsid w:val="002D2A46"/>
    <w:rsid w:val="002D2F66"/>
    <w:rsid w:val="002D3052"/>
    <w:rsid w:val="002E196F"/>
    <w:rsid w:val="002E1EFD"/>
    <w:rsid w:val="002E46FB"/>
    <w:rsid w:val="002E5C3F"/>
    <w:rsid w:val="0031475B"/>
    <w:rsid w:val="00337466"/>
    <w:rsid w:val="00337F68"/>
    <w:rsid w:val="0034642C"/>
    <w:rsid w:val="003605E9"/>
    <w:rsid w:val="00362E05"/>
    <w:rsid w:val="0037115D"/>
    <w:rsid w:val="00372787"/>
    <w:rsid w:val="003772F5"/>
    <w:rsid w:val="00383143"/>
    <w:rsid w:val="00391997"/>
    <w:rsid w:val="003A0EAD"/>
    <w:rsid w:val="003B4592"/>
    <w:rsid w:val="003D189A"/>
    <w:rsid w:val="003D3497"/>
    <w:rsid w:val="003E3BD3"/>
    <w:rsid w:val="003F2BDF"/>
    <w:rsid w:val="00401A2D"/>
    <w:rsid w:val="0040205A"/>
    <w:rsid w:val="00404A20"/>
    <w:rsid w:val="00406F71"/>
    <w:rsid w:val="004450B5"/>
    <w:rsid w:val="0046163D"/>
    <w:rsid w:val="00465AEB"/>
    <w:rsid w:val="00475EC9"/>
    <w:rsid w:val="0047788B"/>
    <w:rsid w:val="00481B09"/>
    <w:rsid w:val="00482C46"/>
    <w:rsid w:val="004860CA"/>
    <w:rsid w:val="00487C11"/>
    <w:rsid w:val="004915CD"/>
    <w:rsid w:val="004A00B2"/>
    <w:rsid w:val="004A2E1C"/>
    <w:rsid w:val="004B09B6"/>
    <w:rsid w:val="004C7DBA"/>
    <w:rsid w:val="004D5FC9"/>
    <w:rsid w:val="004E2452"/>
    <w:rsid w:val="004E274A"/>
    <w:rsid w:val="004E2A10"/>
    <w:rsid w:val="004E5DC0"/>
    <w:rsid w:val="00504F66"/>
    <w:rsid w:val="00506882"/>
    <w:rsid w:val="0051353F"/>
    <w:rsid w:val="005209ED"/>
    <w:rsid w:val="00532FD6"/>
    <w:rsid w:val="005333B0"/>
    <w:rsid w:val="0053355A"/>
    <w:rsid w:val="0054193C"/>
    <w:rsid w:val="0054653C"/>
    <w:rsid w:val="00554FE0"/>
    <w:rsid w:val="00563571"/>
    <w:rsid w:val="005675AA"/>
    <w:rsid w:val="005A64A2"/>
    <w:rsid w:val="005A6D91"/>
    <w:rsid w:val="005B5A1A"/>
    <w:rsid w:val="005B7EB4"/>
    <w:rsid w:val="005C0A63"/>
    <w:rsid w:val="005D6C01"/>
    <w:rsid w:val="005D7100"/>
    <w:rsid w:val="005E0100"/>
    <w:rsid w:val="005F0C6D"/>
    <w:rsid w:val="006006C0"/>
    <w:rsid w:val="00606D20"/>
    <w:rsid w:val="00620846"/>
    <w:rsid w:val="00621E22"/>
    <w:rsid w:val="006277E6"/>
    <w:rsid w:val="00645F37"/>
    <w:rsid w:val="00654A50"/>
    <w:rsid w:val="00661334"/>
    <w:rsid w:val="00666C04"/>
    <w:rsid w:val="00667357"/>
    <w:rsid w:val="00671B2D"/>
    <w:rsid w:val="00677B75"/>
    <w:rsid w:val="00677F8E"/>
    <w:rsid w:val="00684E23"/>
    <w:rsid w:val="0069552B"/>
    <w:rsid w:val="00695A8D"/>
    <w:rsid w:val="006B4B2B"/>
    <w:rsid w:val="006B7B7D"/>
    <w:rsid w:val="006C52FA"/>
    <w:rsid w:val="006E3F79"/>
    <w:rsid w:val="006E6F26"/>
    <w:rsid w:val="006F219D"/>
    <w:rsid w:val="00705276"/>
    <w:rsid w:val="00725E57"/>
    <w:rsid w:val="00736566"/>
    <w:rsid w:val="00763ED4"/>
    <w:rsid w:val="007742F8"/>
    <w:rsid w:val="0078087A"/>
    <w:rsid w:val="00782B1E"/>
    <w:rsid w:val="007844D1"/>
    <w:rsid w:val="007878C4"/>
    <w:rsid w:val="00795A33"/>
    <w:rsid w:val="00795B5D"/>
    <w:rsid w:val="007A10EC"/>
    <w:rsid w:val="007A3F82"/>
    <w:rsid w:val="007C64AC"/>
    <w:rsid w:val="007D5715"/>
    <w:rsid w:val="007D7F7B"/>
    <w:rsid w:val="007E30B8"/>
    <w:rsid w:val="007E3DB3"/>
    <w:rsid w:val="007F2355"/>
    <w:rsid w:val="008042E7"/>
    <w:rsid w:val="00805A67"/>
    <w:rsid w:val="00822675"/>
    <w:rsid w:val="00822B52"/>
    <w:rsid w:val="00824B6C"/>
    <w:rsid w:val="00825F05"/>
    <w:rsid w:val="008271D4"/>
    <w:rsid w:val="00836FBD"/>
    <w:rsid w:val="0084724A"/>
    <w:rsid w:val="00852539"/>
    <w:rsid w:val="0085630E"/>
    <w:rsid w:val="00857BC7"/>
    <w:rsid w:val="00862211"/>
    <w:rsid w:val="00863C63"/>
    <w:rsid w:val="0087728A"/>
    <w:rsid w:val="00881224"/>
    <w:rsid w:val="00890A75"/>
    <w:rsid w:val="008A2184"/>
    <w:rsid w:val="008C7C88"/>
    <w:rsid w:val="008E1685"/>
    <w:rsid w:val="008E6807"/>
    <w:rsid w:val="008F3C20"/>
    <w:rsid w:val="008F7BC0"/>
    <w:rsid w:val="00902CCE"/>
    <w:rsid w:val="00906963"/>
    <w:rsid w:val="00907059"/>
    <w:rsid w:val="00907C5F"/>
    <w:rsid w:val="00911A44"/>
    <w:rsid w:val="00913D70"/>
    <w:rsid w:val="00917B02"/>
    <w:rsid w:val="0092246B"/>
    <w:rsid w:val="00926600"/>
    <w:rsid w:val="009559AE"/>
    <w:rsid w:val="00955AC0"/>
    <w:rsid w:val="0096492E"/>
    <w:rsid w:val="00980D38"/>
    <w:rsid w:val="00982B0D"/>
    <w:rsid w:val="00983D36"/>
    <w:rsid w:val="009873E8"/>
    <w:rsid w:val="009921BA"/>
    <w:rsid w:val="00996CB7"/>
    <w:rsid w:val="009A36D1"/>
    <w:rsid w:val="009B224D"/>
    <w:rsid w:val="009B71EF"/>
    <w:rsid w:val="009C2A48"/>
    <w:rsid w:val="009D1BF1"/>
    <w:rsid w:val="009D2EFA"/>
    <w:rsid w:val="009D37F0"/>
    <w:rsid w:val="009E1CC4"/>
    <w:rsid w:val="00A1442E"/>
    <w:rsid w:val="00A2096B"/>
    <w:rsid w:val="00A32924"/>
    <w:rsid w:val="00A50801"/>
    <w:rsid w:val="00A5392A"/>
    <w:rsid w:val="00A9514B"/>
    <w:rsid w:val="00A96BAF"/>
    <w:rsid w:val="00AB27CC"/>
    <w:rsid w:val="00AD367E"/>
    <w:rsid w:val="00AE72D3"/>
    <w:rsid w:val="00B00A40"/>
    <w:rsid w:val="00B02B81"/>
    <w:rsid w:val="00B03C6E"/>
    <w:rsid w:val="00B0598D"/>
    <w:rsid w:val="00B0745D"/>
    <w:rsid w:val="00B11CF2"/>
    <w:rsid w:val="00B24A23"/>
    <w:rsid w:val="00B259AE"/>
    <w:rsid w:val="00B3294E"/>
    <w:rsid w:val="00B33D03"/>
    <w:rsid w:val="00B4603F"/>
    <w:rsid w:val="00B52BAD"/>
    <w:rsid w:val="00B63D1C"/>
    <w:rsid w:val="00B71433"/>
    <w:rsid w:val="00B71C0D"/>
    <w:rsid w:val="00B73479"/>
    <w:rsid w:val="00B80A95"/>
    <w:rsid w:val="00BB561B"/>
    <w:rsid w:val="00BC216B"/>
    <w:rsid w:val="00BD183E"/>
    <w:rsid w:val="00BE5AA2"/>
    <w:rsid w:val="00BE7AE1"/>
    <w:rsid w:val="00BF66C2"/>
    <w:rsid w:val="00BF7B59"/>
    <w:rsid w:val="00C02C45"/>
    <w:rsid w:val="00C0495F"/>
    <w:rsid w:val="00C2087E"/>
    <w:rsid w:val="00C33AF7"/>
    <w:rsid w:val="00C357B8"/>
    <w:rsid w:val="00C3691B"/>
    <w:rsid w:val="00C44D5A"/>
    <w:rsid w:val="00C57B0F"/>
    <w:rsid w:val="00C61AF1"/>
    <w:rsid w:val="00C72642"/>
    <w:rsid w:val="00C74398"/>
    <w:rsid w:val="00C74640"/>
    <w:rsid w:val="00C818D4"/>
    <w:rsid w:val="00C85661"/>
    <w:rsid w:val="00C873CF"/>
    <w:rsid w:val="00C924C4"/>
    <w:rsid w:val="00C94107"/>
    <w:rsid w:val="00CA2567"/>
    <w:rsid w:val="00CB20F4"/>
    <w:rsid w:val="00CB4868"/>
    <w:rsid w:val="00CC47A7"/>
    <w:rsid w:val="00CD363A"/>
    <w:rsid w:val="00CD3981"/>
    <w:rsid w:val="00CD4B4F"/>
    <w:rsid w:val="00CF1764"/>
    <w:rsid w:val="00CF2769"/>
    <w:rsid w:val="00CF6CED"/>
    <w:rsid w:val="00D05C0A"/>
    <w:rsid w:val="00D11FC5"/>
    <w:rsid w:val="00D154B7"/>
    <w:rsid w:val="00D16CEB"/>
    <w:rsid w:val="00D200BD"/>
    <w:rsid w:val="00D22B18"/>
    <w:rsid w:val="00D35729"/>
    <w:rsid w:val="00D401A5"/>
    <w:rsid w:val="00D4257A"/>
    <w:rsid w:val="00D55C5F"/>
    <w:rsid w:val="00D56DBD"/>
    <w:rsid w:val="00D61E16"/>
    <w:rsid w:val="00D66BA8"/>
    <w:rsid w:val="00D83064"/>
    <w:rsid w:val="00D85D40"/>
    <w:rsid w:val="00D86D64"/>
    <w:rsid w:val="00D900D8"/>
    <w:rsid w:val="00D96770"/>
    <w:rsid w:val="00DA1A83"/>
    <w:rsid w:val="00DC25CA"/>
    <w:rsid w:val="00DD40A6"/>
    <w:rsid w:val="00DD77D2"/>
    <w:rsid w:val="00E07202"/>
    <w:rsid w:val="00E17618"/>
    <w:rsid w:val="00E23F58"/>
    <w:rsid w:val="00E378D5"/>
    <w:rsid w:val="00E456DE"/>
    <w:rsid w:val="00E6431D"/>
    <w:rsid w:val="00E7745E"/>
    <w:rsid w:val="00E8117C"/>
    <w:rsid w:val="00E81433"/>
    <w:rsid w:val="00E9760E"/>
    <w:rsid w:val="00EA1809"/>
    <w:rsid w:val="00EA4920"/>
    <w:rsid w:val="00EB309B"/>
    <w:rsid w:val="00EC494A"/>
    <w:rsid w:val="00EC4D66"/>
    <w:rsid w:val="00EC68D1"/>
    <w:rsid w:val="00ED2703"/>
    <w:rsid w:val="00ED3B41"/>
    <w:rsid w:val="00ED6312"/>
    <w:rsid w:val="00EF6EC2"/>
    <w:rsid w:val="00EF7113"/>
    <w:rsid w:val="00F03327"/>
    <w:rsid w:val="00F03B02"/>
    <w:rsid w:val="00F1509D"/>
    <w:rsid w:val="00F22708"/>
    <w:rsid w:val="00F3048C"/>
    <w:rsid w:val="00F321DB"/>
    <w:rsid w:val="00F41F12"/>
    <w:rsid w:val="00F52AA1"/>
    <w:rsid w:val="00F561F4"/>
    <w:rsid w:val="00F63FA4"/>
    <w:rsid w:val="00F73470"/>
    <w:rsid w:val="00FB1EBD"/>
    <w:rsid w:val="00FB32C0"/>
    <w:rsid w:val="00FB38C9"/>
    <w:rsid w:val="00FE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ccf511-daff-4bcb-9072-914cedbf4c7e" xsi:nil="true"/>
    <lcf76f155ced4ddcb4097134ff3c332f xmlns="a70d3c18-0869-45a1-9f75-4b4b8f0f32b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2B1768DD5A774EB396CCAB0DE361C1" ma:contentTypeVersion="11" ma:contentTypeDescription="Create a new document." ma:contentTypeScope="" ma:versionID="9de673f0197ee9c4816cf50caa74988e">
  <xsd:schema xmlns:xsd="http://www.w3.org/2001/XMLSchema" xmlns:xs="http://www.w3.org/2001/XMLSchema" xmlns:p="http://schemas.microsoft.com/office/2006/metadata/properties" xmlns:ns2="a70d3c18-0869-45a1-9f75-4b4b8f0f32be" xmlns:ns3="adccf511-daff-4bcb-9072-914cedbf4c7e" targetNamespace="http://schemas.microsoft.com/office/2006/metadata/properties" ma:root="true" ma:fieldsID="c9d576c1d58624d45e9370fec3b27e53" ns2:_="" ns3:_="">
    <xsd:import namespace="a70d3c18-0869-45a1-9f75-4b4b8f0f32be"/>
    <xsd:import namespace="adccf511-daff-4bcb-9072-914cedbf4c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d3c18-0869-45a1-9f75-4b4b8f0f3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cf511-daff-4bcb-9072-914cedbf4c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55fdbc5-1632-489d-aeea-ba6fd7407963}" ma:internalName="TaxCatchAll" ma:showField="CatchAllData" ma:web="adccf511-daff-4bcb-9072-914cedbf4c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09408A68-E47D-4663-8339-1656F15FB02A}"/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1519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Nicolás Cruz Ríos</cp:lastModifiedBy>
  <cp:revision>113</cp:revision>
  <dcterms:created xsi:type="dcterms:W3CDTF">2025-06-19T20:47:00Z</dcterms:created>
  <dcterms:modified xsi:type="dcterms:W3CDTF">2025-07-11T05:11:00Z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0x010100FC2B1768DD5A774EB396CCAB0DE361C1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2025-05-13T22:44:43Z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faaa7756-ba61-4da2-987f-0a92924c84ce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  <property fmtid="{D5CDD505-2E9C-101B-9397-08002B2CF9AE}" pid="12" name="Order">
    <vt:r8>65523800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