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75617" w14:textId="05B993DC" w:rsidR="00D7061C" w:rsidRDefault="00D7061C" w:rsidP="00D7061C">
      <w:pPr>
        <w:spacing w:after="0" w:line="276" w:lineRule="auto"/>
        <w:jc w:val="center"/>
        <w:rPr>
          <w:rFonts w:ascii="Arial" w:hAnsi="Arial" w:cs="Arial"/>
          <w:b/>
          <w:bCs/>
        </w:rPr>
      </w:pPr>
      <w:r w:rsidRPr="00D7061C">
        <w:rPr>
          <w:rFonts w:ascii="Arial" w:hAnsi="Arial" w:cs="Arial"/>
          <w:b/>
          <w:bCs/>
        </w:rPr>
        <w:t>DINÁMICA ESTRATÉGICA DEL MERCADO</w:t>
      </w:r>
    </w:p>
    <w:p w14:paraId="63FE77AA" w14:textId="77777777" w:rsidR="00D7061C" w:rsidRPr="00D7061C" w:rsidRDefault="00D7061C" w:rsidP="00D7061C">
      <w:pPr>
        <w:spacing w:after="0" w:line="276" w:lineRule="auto"/>
        <w:jc w:val="center"/>
        <w:rPr>
          <w:rFonts w:ascii="Arial" w:hAnsi="Arial" w:cs="Arial"/>
          <w:b/>
          <w:bCs/>
        </w:rPr>
      </w:pPr>
    </w:p>
    <w:p w14:paraId="310E542C" w14:textId="77777777" w:rsidR="00D7061C" w:rsidRDefault="00D7061C" w:rsidP="00D7061C">
      <w:pPr>
        <w:spacing w:after="0" w:line="276" w:lineRule="auto"/>
        <w:jc w:val="both"/>
        <w:rPr>
          <w:rFonts w:ascii="Arial" w:hAnsi="Arial" w:cs="Arial"/>
          <w:sz w:val="20"/>
          <w:szCs w:val="20"/>
        </w:rPr>
      </w:pPr>
      <w:r w:rsidRPr="00D7061C">
        <w:rPr>
          <w:rFonts w:ascii="Arial" w:hAnsi="Arial" w:cs="Arial"/>
          <w:sz w:val="20"/>
          <w:szCs w:val="20"/>
        </w:rPr>
        <w:t>El mercado constituye un sistema dinámico de interacción donde convergen intereses económicos, comportamientos de consumo, capacidades productivas y procesos de intercambio que determinan la competitividad de las organizaciones. Su comprensión estratégica exige analizar no solo la relación entre oferta y demanda, sino también las variables sociales, tecnológicas, culturales y ambientales que modifican permanentemente las condiciones de participación empresarial. En los contextos actuales, caracterizados por alta transformación digital y consumidores más informados, el mercado deja de ser un espacio estático de transacción para convertirse en un entorno complejo de construcción de valor y diferenciación competitiva. Esta transformación obliga a las organizaciones a interpretar patrones de comportamiento, tendencias emergentes y cambios en las expectativas del consumidor con el propósito de ajustar sus estrategias comerciales y fortalecer su posicionamiento. Cuando las empresas desconocen las dinámicas del mercado, incrementan la probabilidad de tomar decisiones desarticuladas respecto a las necesidades reales del entorno. Por esta razón, el análisis estratégico del mercado se convierte en una herramienta fundamental para reducir incertidumbre, optimizar recursos y orientar procesos de innovación empresarial.</w:t>
      </w:r>
    </w:p>
    <w:p w14:paraId="4E6392DE" w14:textId="77777777" w:rsidR="00D7061C" w:rsidRPr="00D7061C" w:rsidRDefault="00D7061C" w:rsidP="00D7061C">
      <w:pPr>
        <w:spacing w:after="0" w:line="276" w:lineRule="auto"/>
        <w:jc w:val="both"/>
        <w:rPr>
          <w:rFonts w:ascii="Arial" w:hAnsi="Arial" w:cs="Arial"/>
          <w:sz w:val="20"/>
          <w:szCs w:val="20"/>
        </w:rPr>
      </w:pPr>
    </w:p>
    <w:p w14:paraId="0DBFEF15" w14:textId="77777777" w:rsidR="00D7061C" w:rsidRDefault="00D7061C" w:rsidP="00D7061C">
      <w:pPr>
        <w:spacing w:after="0" w:line="276" w:lineRule="auto"/>
        <w:jc w:val="both"/>
        <w:rPr>
          <w:rFonts w:ascii="Arial" w:hAnsi="Arial" w:cs="Arial"/>
          <w:sz w:val="20"/>
          <w:szCs w:val="20"/>
        </w:rPr>
      </w:pPr>
      <w:r w:rsidRPr="00D7061C">
        <w:rPr>
          <w:rFonts w:ascii="Arial" w:hAnsi="Arial" w:cs="Arial"/>
          <w:sz w:val="20"/>
          <w:szCs w:val="20"/>
        </w:rPr>
        <w:t>La estructura del mercado está determinada por múltiples variables que interactúan simultáneamente y condicionan la capacidad de las organizaciones para competir de manera sostenible. Factores como segmentación, comportamiento del consumidor, competencia, capacidad adquisitiva y transformación tecnológica influyen directamente en la construcción de estrategias comerciales y en la definición de propuestas de valor. En consecuencia, las empresas requieren mecanismos de investigación y análisis que permitan interpretar información relevante para la toma de decisiones. Herramientas como estudios de mercado, analítica de datos, segmentación estratégica y monitoreo competitivo facilitan identificar oportunidades, anticipar riesgos y reconocer cambios en los hábitos de consumo. Sin embargo, el valor de estas herramientas no radica únicamente en la recolección de información, sino en la capacidad organizacional para convertir datos dispersos en conocimiento estratégico aplicable. Esta interpretación permite adaptar productos, canales y procesos de comunicación según las condiciones reales del entorno, fortaleciendo la capacidad de respuesta frente a mercados cada vez más cambiantes y competitivos.</w:t>
      </w:r>
    </w:p>
    <w:p w14:paraId="5EDD00C0" w14:textId="77777777" w:rsidR="00D7061C" w:rsidRPr="00D7061C" w:rsidRDefault="00D7061C" w:rsidP="00D7061C">
      <w:pPr>
        <w:spacing w:after="0" w:line="276" w:lineRule="auto"/>
        <w:jc w:val="both"/>
        <w:rPr>
          <w:rFonts w:ascii="Arial" w:hAnsi="Arial" w:cs="Arial"/>
          <w:sz w:val="20"/>
          <w:szCs w:val="20"/>
        </w:rPr>
      </w:pPr>
    </w:p>
    <w:p w14:paraId="1743BCF7" w14:textId="77777777" w:rsidR="00D7061C" w:rsidRPr="00D7061C" w:rsidRDefault="00D7061C" w:rsidP="00D7061C">
      <w:pPr>
        <w:spacing w:after="0" w:line="276" w:lineRule="auto"/>
        <w:jc w:val="both"/>
        <w:rPr>
          <w:rFonts w:ascii="Arial" w:hAnsi="Arial" w:cs="Arial"/>
          <w:sz w:val="20"/>
          <w:szCs w:val="20"/>
        </w:rPr>
      </w:pPr>
      <w:r w:rsidRPr="00D7061C">
        <w:rPr>
          <w:rFonts w:ascii="Arial" w:hAnsi="Arial" w:cs="Arial"/>
          <w:sz w:val="20"/>
          <w:szCs w:val="20"/>
        </w:rPr>
        <w:t>Desde una perspectiva aplicada, el mercado funciona como un escenario de validación permanente donde las organizaciones ponen a prueba la coherencia entre su propuesta comercial, la experiencia del cliente y las demandas del entorno. Las empresas que integran análisis de mercado dentro de sus procesos de gestión logran desarrollar estrategias más flexibles, identificar nichos emergentes y construir relaciones sostenibles con sus consumidores. Además, la evolución de mercados orientados a sostenibilidad y responsabilidad social ha generado nuevas exigencias relacionadas con transparencia, innovación y valor agregado, modificando criterios tradicionales de competitividad. En este contexto, comprender el mercado implica interpretar relaciones de poder, comportamiento y percepción que influyen directamente en la permanencia empresarial. El valor estratégico del análisis de mercado reside en su capacidad para orientar decisiones fundamentadas, optimizar recursos y fortalecer ventajas competitivas sostenibles. Las organizaciones que desarrollan esta capacidad analítica no solo mejoran su desempeño comercial, sino que incrementan su adaptabilidad frente a escenarios económicos, tecnológicos y sociales en constante transformación.</w:t>
      </w:r>
    </w:p>
    <w:p w14:paraId="50EDB515" w14:textId="77777777" w:rsidR="0012438E" w:rsidRDefault="0012438E" w:rsidP="00D7061C">
      <w:pPr>
        <w:spacing w:after="0" w:line="276" w:lineRule="auto"/>
        <w:jc w:val="both"/>
        <w:rPr>
          <w:rFonts w:ascii="Arial" w:hAnsi="Arial" w:cs="Arial"/>
          <w:b/>
          <w:bCs/>
          <w:sz w:val="20"/>
          <w:szCs w:val="20"/>
        </w:rPr>
      </w:pPr>
    </w:p>
    <w:p w14:paraId="1CB51C62" w14:textId="5411FB97" w:rsidR="00D7061C" w:rsidRPr="00D7061C" w:rsidRDefault="00D7061C" w:rsidP="00D7061C">
      <w:pPr>
        <w:spacing w:after="0" w:line="276" w:lineRule="auto"/>
        <w:jc w:val="both"/>
        <w:rPr>
          <w:rFonts w:ascii="Arial" w:hAnsi="Arial" w:cs="Arial"/>
          <w:b/>
          <w:bCs/>
          <w:sz w:val="20"/>
          <w:szCs w:val="20"/>
        </w:rPr>
      </w:pPr>
      <w:r w:rsidRPr="00D7061C">
        <w:rPr>
          <w:rFonts w:ascii="Arial" w:hAnsi="Arial" w:cs="Arial"/>
          <w:b/>
          <w:bCs/>
          <w:sz w:val="20"/>
          <w:szCs w:val="20"/>
        </w:rPr>
        <w:t>Referencias</w:t>
      </w:r>
    </w:p>
    <w:p w14:paraId="6B0EAE78" w14:textId="77777777" w:rsidR="00D7061C" w:rsidRPr="00D7061C" w:rsidRDefault="00D7061C" w:rsidP="00D7061C">
      <w:pPr>
        <w:spacing w:after="0" w:line="276" w:lineRule="auto"/>
        <w:ind w:left="709" w:hanging="709"/>
        <w:jc w:val="both"/>
        <w:rPr>
          <w:rFonts w:ascii="Arial" w:hAnsi="Arial" w:cs="Arial"/>
          <w:sz w:val="20"/>
          <w:szCs w:val="20"/>
          <w:lang w:val="en-GB"/>
        </w:rPr>
      </w:pPr>
      <w:r w:rsidRPr="00D7061C">
        <w:rPr>
          <w:rFonts w:ascii="Arial" w:hAnsi="Arial" w:cs="Arial"/>
          <w:sz w:val="20"/>
          <w:szCs w:val="20"/>
        </w:rPr>
        <w:lastRenderedPageBreak/>
        <w:t xml:space="preserve">Chiavenato, I. (2019). </w:t>
      </w:r>
      <w:r w:rsidRPr="00D7061C">
        <w:rPr>
          <w:rFonts w:ascii="Arial" w:hAnsi="Arial" w:cs="Arial"/>
          <w:i/>
          <w:iCs/>
          <w:sz w:val="20"/>
          <w:szCs w:val="20"/>
        </w:rPr>
        <w:t>Introducción a la teoría general de la administración</w:t>
      </w:r>
      <w:r w:rsidRPr="00D7061C">
        <w:rPr>
          <w:rFonts w:ascii="Arial" w:hAnsi="Arial" w:cs="Arial"/>
          <w:sz w:val="20"/>
          <w:szCs w:val="20"/>
        </w:rPr>
        <w:t xml:space="preserve">. </w:t>
      </w:r>
      <w:r w:rsidRPr="00D7061C">
        <w:rPr>
          <w:rFonts w:ascii="Arial" w:hAnsi="Arial" w:cs="Arial"/>
          <w:sz w:val="20"/>
          <w:szCs w:val="20"/>
          <w:lang w:val="en-GB"/>
        </w:rPr>
        <w:t>McGraw-Hill.</w:t>
      </w:r>
    </w:p>
    <w:p w14:paraId="2D482DC0" w14:textId="77777777" w:rsidR="00D7061C" w:rsidRPr="00D7061C" w:rsidRDefault="00D7061C" w:rsidP="00D7061C">
      <w:pPr>
        <w:spacing w:after="0" w:line="276" w:lineRule="auto"/>
        <w:ind w:left="709" w:hanging="709"/>
        <w:jc w:val="both"/>
        <w:rPr>
          <w:rFonts w:ascii="Arial" w:hAnsi="Arial" w:cs="Arial"/>
          <w:sz w:val="20"/>
          <w:szCs w:val="20"/>
        </w:rPr>
      </w:pPr>
      <w:r w:rsidRPr="00D7061C">
        <w:rPr>
          <w:rFonts w:ascii="Arial" w:hAnsi="Arial" w:cs="Arial"/>
          <w:sz w:val="20"/>
          <w:szCs w:val="20"/>
          <w:lang w:val="en-GB"/>
        </w:rPr>
        <w:t xml:space="preserve">Kotler, P., &amp; Keller, K. (2016). </w:t>
      </w:r>
      <w:proofErr w:type="spellStart"/>
      <w:r w:rsidRPr="00D7061C">
        <w:rPr>
          <w:rFonts w:ascii="Arial" w:hAnsi="Arial" w:cs="Arial"/>
          <w:i/>
          <w:iCs/>
          <w:sz w:val="20"/>
          <w:szCs w:val="20"/>
          <w:lang w:val="en-GB"/>
        </w:rPr>
        <w:t>Dirección</w:t>
      </w:r>
      <w:proofErr w:type="spellEnd"/>
      <w:r w:rsidRPr="00D7061C">
        <w:rPr>
          <w:rFonts w:ascii="Arial" w:hAnsi="Arial" w:cs="Arial"/>
          <w:i/>
          <w:iCs/>
          <w:sz w:val="20"/>
          <w:szCs w:val="20"/>
          <w:lang w:val="en-GB"/>
        </w:rPr>
        <w:t xml:space="preserve"> de marketing</w:t>
      </w:r>
      <w:r w:rsidRPr="00D7061C">
        <w:rPr>
          <w:rFonts w:ascii="Arial" w:hAnsi="Arial" w:cs="Arial"/>
          <w:sz w:val="20"/>
          <w:szCs w:val="20"/>
          <w:lang w:val="en-GB"/>
        </w:rPr>
        <w:t xml:space="preserve"> (15.ª ed.). </w:t>
      </w:r>
      <w:r w:rsidRPr="00D7061C">
        <w:rPr>
          <w:rFonts w:ascii="Arial" w:hAnsi="Arial" w:cs="Arial"/>
          <w:sz w:val="20"/>
          <w:szCs w:val="20"/>
        </w:rPr>
        <w:t>Pearson Educación.</w:t>
      </w:r>
    </w:p>
    <w:p w14:paraId="450FF7D7" w14:textId="77777777" w:rsidR="00D7061C" w:rsidRPr="00D7061C" w:rsidRDefault="00D7061C" w:rsidP="00D7061C">
      <w:pPr>
        <w:spacing w:after="0" w:line="276" w:lineRule="auto"/>
        <w:ind w:left="709" w:hanging="709"/>
        <w:jc w:val="both"/>
        <w:rPr>
          <w:rFonts w:ascii="Arial" w:hAnsi="Arial" w:cs="Arial"/>
          <w:sz w:val="20"/>
          <w:szCs w:val="20"/>
        </w:rPr>
      </w:pPr>
      <w:r w:rsidRPr="00D7061C">
        <w:rPr>
          <w:rFonts w:ascii="Arial" w:hAnsi="Arial" w:cs="Arial"/>
          <w:sz w:val="20"/>
          <w:szCs w:val="20"/>
        </w:rPr>
        <w:t xml:space="preserve">Lambin, J. J. (2018). </w:t>
      </w:r>
      <w:r w:rsidRPr="00D7061C">
        <w:rPr>
          <w:rFonts w:ascii="Arial" w:hAnsi="Arial" w:cs="Arial"/>
          <w:i/>
          <w:iCs/>
          <w:sz w:val="20"/>
          <w:szCs w:val="20"/>
        </w:rPr>
        <w:t>Marketing estratégico</w:t>
      </w:r>
      <w:r w:rsidRPr="00D7061C">
        <w:rPr>
          <w:rFonts w:ascii="Arial" w:hAnsi="Arial" w:cs="Arial"/>
          <w:sz w:val="20"/>
          <w:szCs w:val="20"/>
        </w:rPr>
        <w:t>. McGraw-Hill.</w:t>
      </w:r>
    </w:p>
    <w:p w14:paraId="4E4A68F7" w14:textId="77777777" w:rsidR="00C737D0" w:rsidRDefault="00C737D0" w:rsidP="00D7061C">
      <w:pPr>
        <w:spacing w:after="0" w:line="276" w:lineRule="auto"/>
        <w:jc w:val="both"/>
        <w:rPr>
          <w:rFonts w:ascii="Arial" w:hAnsi="Arial" w:cs="Arial"/>
          <w:sz w:val="20"/>
          <w:szCs w:val="20"/>
        </w:rPr>
      </w:pPr>
    </w:p>
    <w:sectPr w:rsidR="00C737D0"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8044A" w14:textId="77777777" w:rsidR="0062659A" w:rsidRDefault="0062659A" w:rsidP="004903EB">
      <w:pPr>
        <w:spacing w:after="0" w:line="240" w:lineRule="auto"/>
      </w:pPr>
      <w:r>
        <w:separator/>
      </w:r>
    </w:p>
  </w:endnote>
  <w:endnote w:type="continuationSeparator" w:id="0">
    <w:p w14:paraId="60FD9666" w14:textId="77777777" w:rsidR="0062659A" w:rsidRDefault="0062659A"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53F28" w14:textId="77777777" w:rsidR="0062659A" w:rsidRDefault="0062659A" w:rsidP="004903EB">
      <w:pPr>
        <w:spacing w:after="0" w:line="240" w:lineRule="auto"/>
      </w:pPr>
      <w:r>
        <w:separator/>
      </w:r>
    </w:p>
  </w:footnote>
  <w:footnote w:type="continuationSeparator" w:id="0">
    <w:p w14:paraId="702CDBD9" w14:textId="77777777" w:rsidR="0062659A" w:rsidRDefault="0062659A"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23319"/>
    <w:rsid w:val="00046484"/>
    <w:rsid w:val="000557B3"/>
    <w:rsid w:val="00073A12"/>
    <w:rsid w:val="000F1048"/>
    <w:rsid w:val="000F36A8"/>
    <w:rsid w:val="0012438E"/>
    <w:rsid w:val="00156202"/>
    <w:rsid w:val="001846C6"/>
    <w:rsid w:val="001A3111"/>
    <w:rsid w:val="00271F22"/>
    <w:rsid w:val="002936D9"/>
    <w:rsid w:val="002D43B6"/>
    <w:rsid w:val="0036019B"/>
    <w:rsid w:val="003A264C"/>
    <w:rsid w:val="003B0D49"/>
    <w:rsid w:val="00487569"/>
    <w:rsid w:val="004903EB"/>
    <w:rsid w:val="00491BD7"/>
    <w:rsid w:val="00625043"/>
    <w:rsid w:val="0062659A"/>
    <w:rsid w:val="00633BF0"/>
    <w:rsid w:val="00727228"/>
    <w:rsid w:val="007575CF"/>
    <w:rsid w:val="007772C4"/>
    <w:rsid w:val="007D019C"/>
    <w:rsid w:val="007D58D5"/>
    <w:rsid w:val="008349CF"/>
    <w:rsid w:val="008509DE"/>
    <w:rsid w:val="008A7E5D"/>
    <w:rsid w:val="008C5B2B"/>
    <w:rsid w:val="00B41E63"/>
    <w:rsid w:val="00B52BAB"/>
    <w:rsid w:val="00BF5C09"/>
    <w:rsid w:val="00C737D0"/>
    <w:rsid w:val="00CD1E1C"/>
    <w:rsid w:val="00D04EB3"/>
    <w:rsid w:val="00D7061C"/>
    <w:rsid w:val="00DC6D63"/>
    <w:rsid w:val="00F34DF1"/>
    <w:rsid w:val="00F363E4"/>
    <w:rsid w:val="00F37CD8"/>
    <w:rsid w:val="00F952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27A23B-EEF1-4B48-AF72-1A2067B1350A}"/>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383079E9-81A7-4BC4-9509-930C9C6090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625</Words>
  <Characters>3442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Nicolás Cruz Ríos</cp:lastModifiedBy>
  <cp:revision>18</cp:revision>
  <dcterms:created xsi:type="dcterms:W3CDTF">2026-05-06T22:00:00Z</dcterms:created>
  <dcterms:modified xsi:type="dcterms:W3CDTF">2026-05-07T22:06:00Z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y fmtid="{D5CDD505-2E9C-101B-9397-08002B2CF9AE}" pid="12" name="Order">
    <vt:r8>83863300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