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0FF5C" w14:textId="14DE9301" w:rsidR="00AD24A4" w:rsidRDefault="00F25320" w:rsidP="00F25320">
      <w:pPr>
        <w:spacing w:after="0" w:line="276" w:lineRule="auto"/>
        <w:jc w:val="center"/>
        <w:rPr>
          <w:rFonts w:ascii="Arial" w:hAnsi="Arial" w:cs="Arial"/>
          <w:b/>
          <w:bCs/>
        </w:rPr>
      </w:pPr>
      <w:r w:rsidRPr="00F25320">
        <w:rPr>
          <w:rFonts w:ascii="Arial" w:hAnsi="Arial" w:cs="Arial"/>
          <w:b/>
          <w:bCs/>
        </w:rPr>
        <w:t>ESTRATEGIA DEL CONSUMIDOR VERDE</w:t>
      </w:r>
    </w:p>
    <w:p w14:paraId="129639B7" w14:textId="77777777" w:rsidR="00F25320" w:rsidRPr="00F25320" w:rsidRDefault="00F25320" w:rsidP="00F25320">
      <w:pPr>
        <w:spacing w:after="0" w:line="276" w:lineRule="auto"/>
        <w:jc w:val="center"/>
        <w:rPr>
          <w:rFonts w:ascii="Arial" w:hAnsi="Arial" w:cs="Arial"/>
          <w:b/>
          <w:bCs/>
        </w:rPr>
      </w:pPr>
    </w:p>
    <w:p w14:paraId="73B13B52" w14:textId="77777777" w:rsidR="00AD24A4" w:rsidRDefault="00AD24A4" w:rsidP="00AD24A4">
      <w:pPr>
        <w:spacing w:after="0" w:line="276" w:lineRule="auto"/>
        <w:jc w:val="both"/>
        <w:rPr>
          <w:rFonts w:ascii="Arial" w:hAnsi="Arial" w:cs="Arial"/>
          <w:sz w:val="20"/>
          <w:szCs w:val="20"/>
        </w:rPr>
      </w:pPr>
      <w:r w:rsidRPr="00AD24A4">
        <w:rPr>
          <w:rFonts w:ascii="Arial" w:hAnsi="Arial" w:cs="Arial"/>
          <w:sz w:val="20"/>
          <w:szCs w:val="20"/>
        </w:rPr>
        <w:t>La transformación de los mercados contemporáneos ha generado un cambio significativo en la relación entre consumo, sostenibilidad y toma de decisiones comerciales. En este escenario, el consumidor verde emerge como un actor estratégico cuya conducta de compra está influenciada no solo por variables funcionales o económicas, sino también por criterios ambientales, sociales y éticos asociados a los productos y organizaciones. Este comportamiento responde al aumento de la conciencia sobre problemáticas como el cambio climático, la contaminación y el impacto de los modelos productivos tradicionales, lo que ha modificado las expectativas frente a las empresas y sus propuestas de valor. Como consecuencia, las organizaciones ya no compiten únicamente mediante precio o calidad, sino a través de la capacidad de demostrar coherencia entre discurso, prácticas sostenibles y responsabilidad corporativa. El consumidor verde interpreta la información comercial desde una lógica más crítica, evaluando transparencia, trazabilidad, certificaciones y compromiso ambiental antes de tomar decisiones de compra. Esto obliga a las empresas a replantear sus estrategias comerciales, integrando sostenibilidad como un componente estructural y no únicamente comunicacional.</w:t>
      </w:r>
    </w:p>
    <w:p w14:paraId="73FF1154" w14:textId="77777777" w:rsidR="00F25320" w:rsidRPr="00AD24A4" w:rsidRDefault="00F25320" w:rsidP="00AD24A4">
      <w:pPr>
        <w:spacing w:after="0" w:line="276" w:lineRule="auto"/>
        <w:jc w:val="both"/>
        <w:rPr>
          <w:rFonts w:ascii="Arial" w:hAnsi="Arial" w:cs="Arial"/>
          <w:sz w:val="20"/>
          <w:szCs w:val="20"/>
        </w:rPr>
      </w:pPr>
    </w:p>
    <w:p w14:paraId="713D9CE4" w14:textId="77777777" w:rsidR="00AD24A4" w:rsidRDefault="00AD24A4" w:rsidP="00AD24A4">
      <w:pPr>
        <w:spacing w:after="0" w:line="276" w:lineRule="auto"/>
        <w:jc w:val="both"/>
        <w:rPr>
          <w:rFonts w:ascii="Arial" w:hAnsi="Arial" w:cs="Arial"/>
          <w:sz w:val="20"/>
          <w:szCs w:val="20"/>
        </w:rPr>
      </w:pPr>
      <w:r w:rsidRPr="00AD24A4">
        <w:rPr>
          <w:rFonts w:ascii="Arial" w:hAnsi="Arial" w:cs="Arial"/>
          <w:sz w:val="20"/>
          <w:szCs w:val="20"/>
        </w:rPr>
        <w:t xml:space="preserve">La comprensión estratégica del consumidor verde requiere analizar la interacción entre factores culturales, emocionales, sociales y económicos que influyen en su comportamiento. Aunque existe una tendencia creciente hacia el consumo responsable, las decisiones de compra continúan condicionadas por variables como accesibilidad, percepción de valor, confianza y experiencia del cliente. Por esta razón, las organizaciones necesitan desarrollar mecanismos de comunicación capaces de traducir atributos sostenibles en beneficios comprensibles y relevantes para el consumidor. Herramientas como </w:t>
      </w:r>
      <w:proofErr w:type="spellStart"/>
      <w:r w:rsidRPr="00AD24A4">
        <w:rPr>
          <w:rFonts w:ascii="Arial" w:hAnsi="Arial" w:cs="Arial"/>
          <w:sz w:val="20"/>
          <w:szCs w:val="20"/>
        </w:rPr>
        <w:t>storytelling</w:t>
      </w:r>
      <w:proofErr w:type="spellEnd"/>
      <w:r w:rsidRPr="00AD24A4">
        <w:rPr>
          <w:rFonts w:ascii="Arial" w:hAnsi="Arial" w:cs="Arial"/>
          <w:sz w:val="20"/>
          <w:szCs w:val="20"/>
        </w:rPr>
        <w:t>, etiquetado ambiental, certificaciones verificables y estrategias de segmentación permiten fortalecer la percepción de autenticidad y reducir la incertidumbre en el proceso de compra. Sin embargo, cuando la sostenibilidad se comunica sin respaldo real, se genera desconfianza y resistencia hacia las marcas, afectando reputación y fidelización. En consecuencia, la relación entre empresa y consumidor verde depende de la capacidad organizacional para integrar sostenibilidad, comunicación y experiencia comercial dentro de un mismo sistema estratégico orientado a construir legitimidad y diferenciación competitiva.</w:t>
      </w:r>
    </w:p>
    <w:p w14:paraId="50B48529" w14:textId="77777777" w:rsidR="00F25320" w:rsidRPr="00AD24A4" w:rsidRDefault="00F25320" w:rsidP="00AD24A4">
      <w:pPr>
        <w:spacing w:after="0" w:line="276" w:lineRule="auto"/>
        <w:jc w:val="both"/>
        <w:rPr>
          <w:rFonts w:ascii="Arial" w:hAnsi="Arial" w:cs="Arial"/>
          <w:sz w:val="20"/>
          <w:szCs w:val="20"/>
        </w:rPr>
      </w:pPr>
    </w:p>
    <w:p w14:paraId="63B8CA71" w14:textId="77777777" w:rsidR="00AD24A4" w:rsidRPr="00AD24A4" w:rsidRDefault="00AD24A4" w:rsidP="00AD24A4">
      <w:pPr>
        <w:spacing w:after="0" w:line="276" w:lineRule="auto"/>
        <w:jc w:val="both"/>
        <w:rPr>
          <w:rFonts w:ascii="Arial" w:hAnsi="Arial" w:cs="Arial"/>
          <w:sz w:val="20"/>
          <w:szCs w:val="20"/>
        </w:rPr>
      </w:pPr>
      <w:r w:rsidRPr="00AD24A4">
        <w:rPr>
          <w:rFonts w:ascii="Arial" w:hAnsi="Arial" w:cs="Arial"/>
          <w:sz w:val="20"/>
          <w:szCs w:val="20"/>
        </w:rPr>
        <w:t>Desde una perspectiva aplicada, el consumidor verde influye directamente en la innovación empresarial, el diseño de productos y la formulación de estrategias comerciales orientadas al largo plazo. Las organizaciones utilizan análisis de comportamiento, métricas digitales y estudios de mercado para identificar tendencias de consumo sostenible y adaptar su oferta a nuevos patrones de demanda. Esta información permite optimizar decisiones relacionadas con producción, comunicación, distribución y posicionamiento, fortaleciendo la capacidad de respuesta frente a mercados dinámicos y altamente competitivos. Además, el consumidor verde impulsa modelos de negocio basados en economía circular, eficiencia de recursos y responsabilidad social, promoviendo cambios estructurales en las cadenas de valor. El valor estratégico de este perfil de consumidor radica en su capacidad para transformar la sostenibilidad en un criterio de competitividad empresarial y no únicamente en una exigencia ambiental. Las organizaciones que logran interpretar estas dinámicas de manera coherente fortalecen relaciones de confianza, incrementan diferenciación en el mercado y consolidan ventajas competitivas sostenibles en escenarios comerciales cada vez más exigentes.</w:t>
      </w:r>
    </w:p>
    <w:p w14:paraId="7FE4A9FF" w14:textId="77777777" w:rsidR="00F25320" w:rsidRDefault="00F25320" w:rsidP="00AD24A4">
      <w:pPr>
        <w:spacing w:after="0" w:line="276" w:lineRule="auto"/>
        <w:jc w:val="both"/>
        <w:rPr>
          <w:rFonts w:ascii="Arial" w:hAnsi="Arial" w:cs="Arial"/>
          <w:b/>
          <w:bCs/>
          <w:sz w:val="20"/>
          <w:szCs w:val="20"/>
        </w:rPr>
      </w:pPr>
    </w:p>
    <w:p w14:paraId="433B3561" w14:textId="2DA72289" w:rsidR="00AD24A4" w:rsidRPr="00AD24A4" w:rsidRDefault="00AD24A4" w:rsidP="00AD24A4">
      <w:pPr>
        <w:spacing w:after="0" w:line="276" w:lineRule="auto"/>
        <w:jc w:val="both"/>
        <w:rPr>
          <w:rFonts w:ascii="Arial" w:hAnsi="Arial" w:cs="Arial"/>
          <w:b/>
          <w:bCs/>
          <w:sz w:val="20"/>
          <w:szCs w:val="20"/>
        </w:rPr>
      </w:pPr>
      <w:r w:rsidRPr="00AD24A4">
        <w:rPr>
          <w:rFonts w:ascii="Arial" w:hAnsi="Arial" w:cs="Arial"/>
          <w:b/>
          <w:bCs/>
          <w:sz w:val="20"/>
          <w:szCs w:val="20"/>
        </w:rPr>
        <w:lastRenderedPageBreak/>
        <w:t>Referencias</w:t>
      </w:r>
    </w:p>
    <w:p w14:paraId="517BAC65" w14:textId="77777777" w:rsidR="00AD24A4" w:rsidRPr="00AD24A4" w:rsidRDefault="00AD24A4" w:rsidP="00F25320">
      <w:pPr>
        <w:spacing w:after="0" w:line="276" w:lineRule="auto"/>
        <w:ind w:left="709" w:hanging="709"/>
        <w:jc w:val="both"/>
        <w:rPr>
          <w:rFonts w:ascii="Arial" w:hAnsi="Arial" w:cs="Arial"/>
          <w:sz w:val="20"/>
          <w:szCs w:val="20"/>
        </w:rPr>
      </w:pPr>
      <w:r w:rsidRPr="00AD24A4">
        <w:rPr>
          <w:rFonts w:ascii="Arial" w:hAnsi="Arial" w:cs="Arial"/>
          <w:sz w:val="20"/>
          <w:szCs w:val="20"/>
        </w:rPr>
        <w:t xml:space="preserve">Kotler, P., &amp; Keller, K. (2016). </w:t>
      </w:r>
      <w:r w:rsidRPr="00AD24A4">
        <w:rPr>
          <w:rFonts w:ascii="Arial" w:hAnsi="Arial" w:cs="Arial"/>
          <w:i/>
          <w:iCs/>
          <w:sz w:val="20"/>
          <w:szCs w:val="20"/>
        </w:rPr>
        <w:t>Dirección de marketing</w:t>
      </w:r>
      <w:r w:rsidRPr="00AD24A4">
        <w:rPr>
          <w:rFonts w:ascii="Arial" w:hAnsi="Arial" w:cs="Arial"/>
          <w:sz w:val="20"/>
          <w:szCs w:val="20"/>
        </w:rPr>
        <w:t xml:space="preserve"> (15.ª ed.). Pearson Educación.</w:t>
      </w:r>
    </w:p>
    <w:p w14:paraId="10917696" w14:textId="77777777" w:rsidR="00AD24A4" w:rsidRPr="00AD24A4" w:rsidRDefault="00AD24A4" w:rsidP="00F25320">
      <w:pPr>
        <w:spacing w:after="0" w:line="276" w:lineRule="auto"/>
        <w:ind w:left="709" w:hanging="709"/>
        <w:jc w:val="both"/>
        <w:rPr>
          <w:rFonts w:ascii="Arial" w:hAnsi="Arial" w:cs="Arial"/>
          <w:sz w:val="20"/>
          <w:szCs w:val="20"/>
          <w:lang w:val="en-GB"/>
        </w:rPr>
      </w:pPr>
      <w:r w:rsidRPr="00AD24A4">
        <w:rPr>
          <w:rFonts w:ascii="Arial" w:hAnsi="Arial" w:cs="Arial"/>
          <w:sz w:val="20"/>
          <w:szCs w:val="20"/>
          <w:lang w:val="en-GB"/>
        </w:rPr>
        <w:t xml:space="preserve">Lambin, J. J. (2018). </w:t>
      </w:r>
      <w:r w:rsidRPr="00AD24A4">
        <w:rPr>
          <w:rFonts w:ascii="Arial" w:hAnsi="Arial" w:cs="Arial"/>
          <w:i/>
          <w:iCs/>
          <w:sz w:val="20"/>
          <w:szCs w:val="20"/>
          <w:lang w:val="en-GB"/>
        </w:rPr>
        <w:t xml:space="preserve">Marketing </w:t>
      </w:r>
      <w:proofErr w:type="spellStart"/>
      <w:r w:rsidRPr="00AD24A4">
        <w:rPr>
          <w:rFonts w:ascii="Arial" w:hAnsi="Arial" w:cs="Arial"/>
          <w:i/>
          <w:iCs/>
          <w:sz w:val="20"/>
          <w:szCs w:val="20"/>
          <w:lang w:val="en-GB"/>
        </w:rPr>
        <w:t>estratégico</w:t>
      </w:r>
      <w:proofErr w:type="spellEnd"/>
      <w:r w:rsidRPr="00AD24A4">
        <w:rPr>
          <w:rFonts w:ascii="Arial" w:hAnsi="Arial" w:cs="Arial"/>
          <w:sz w:val="20"/>
          <w:szCs w:val="20"/>
          <w:lang w:val="en-GB"/>
        </w:rPr>
        <w:t>. McGraw-Hill.</w:t>
      </w:r>
    </w:p>
    <w:p w14:paraId="377F0E71" w14:textId="77777777" w:rsidR="00AD24A4" w:rsidRPr="00AD24A4" w:rsidRDefault="00AD24A4" w:rsidP="00F25320">
      <w:pPr>
        <w:spacing w:after="0" w:line="276" w:lineRule="auto"/>
        <w:ind w:left="709" w:hanging="709"/>
        <w:jc w:val="both"/>
        <w:rPr>
          <w:rFonts w:ascii="Arial" w:hAnsi="Arial" w:cs="Arial"/>
          <w:sz w:val="20"/>
          <w:szCs w:val="20"/>
        </w:rPr>
      </w:pPr>
      <w:r w:rsidRPr="00AD24A4">
        <w:rPr>
          <w:rFonts w:ascii="Arial" w:hAnsi="Arial" w:cs="Arial"/>
          <w:sz w:val="20"/>
          <w:szCs w:val="20"/>
          <w:lang w:val="en-GB"/>
        </w:rPr>
        <w:t xml:space="preserve">Peattie, K., &amp; Belz, F. M. (2014). </w:t>
      </w:r>
      <w:r w:rsidRPr="00AD24A4">
        <w:rPr>
          <w:rFonts w:ascii="Arial" w:hAnsi="Arial" w:cs="Arial"/>
          <w:i/>
          <w:iCs/>
          <w:sz w:val="20"/>
          <w:szCs w:val="20"/>
        </w:rPr>
        <w:t>Sostenibilidad y marketing</w:t>
      </w:r>
      <w:r w:rsidRPr="00AD24A4">
        <w:rPr>
          <w:rFonts w:ascii="Arial" w:hAnsi="Arial" w:cs="Arial"/>
          <w:sz w:val="20"/>
          <w:szCs w:val="20"/>
        </w:rPr>
        <w:t>. Editorial Profit.</w:t>
      </w:r>
    </w:p>
    <w:p w14:paraId="30B519D9" w14:textId="77777777" w:rsidR="00023319" w:rsidRPr="00491BD7" w:rsidRDefault="00023319" w:rsidP="00AD24A4">
      <w:pPr>
        <w:spacing w:after="0" w:line="276" w:lineRule="auto"/>
        <w:jc w:val="both"/>
        <w:rPr>
          <w:rFonts w:ascii="Arial" w:hAnsi="Arial" w:cs="Arial"/>
          <w:sz w:val="20"/>
          <w:szCs w:val="20"/>
        </w:rPr>
      </w:pPr>
    </w:p>
    <w:sectPr w:rsidR="00023319" w:rsidRPr="00491BD7" w:rsidSect="004903EB">
      <w:headerReference w:type="default" r:id="rId10"/>
      <w:pgSz w:w="12240" w:h="15840" w:code="1"/>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F29A1" w14:textId="77777777" w:rsidR="00CD03AD" w:rsidRDefault="00CD03AD" w:rsidP="004903EB">
      <w:pPr>
        <w:spacing w:after="0" w:line="240" w:lineRule="auto"/>
      </w:pPr>
      <w:r>
        <w:separator/>
      </w:r>
    </w:p>
  </w:endnote>
  <w:endnote w:type="continuationSeparator" w:id="0">
    <w:p w14:paraId="0B55C542" w14:textId="77777777" w:rsidR="00CD03AD" w:rsidRDefault="00CD03AD" w:rsidP="0049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D7FB1" w14:textId="77777777" w:rsidR="00CD03AD" w:rsidRDefault="00CD03AD" w:rsidP="004903EB">
      <w:pPr>
        <w:spacing w:after="0" w:line="240" w:lineRule="auto"/>
      </w:pPr>
      <w:r>
        <w:separator/>
      </w:r>
    </w:p>
  </w:footnote>
  <w:footnote w:type="continuationSeparator" w:id="0">
    <w:p w14:paraId="310B8D70" w14:textId="77777777" w:rsidR="00CD03AD" w:rsidRDefault="00CD03AD" w:rsidP="00490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4FEC7" w14:textId="0D64481B" w:rsidR="004903EB" w:rsidRDefault="004903EB" w:rsidP="004903EB">
    <w:pPr>
      <w:pStyle w:val="Encabezado"/>
      <w:tabs>
        <w:tab w:val="clear" w:pos="4419"/>
      </w:tabs>
    </w:pPr>
    <w:r w:rsidRPr="001A74F0">
      <w:rPr>
        <w:noProof/>
      </w:rPr>
      <w:drawing>
        <wp:anchor distT="0" distB="0" distL="114300" distR="114300" simplePos="0" relativeHeight="251659264" behindDoc="0" locked="0" layoutInCell="1" allowOverlap="1" wp14:anchorId="582A2502" wp14:editId="43ACE061">
          <wp:simplePos x="0" y="0"/>
          <wp:positionH relativeFrom="column">
            <wp:posOffset>2400300</wp:posOffset>
          </wp:positionH>
          <wp:positionV relativeFrom="paragraph">
            <wp:posOffset>-95885</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D05FE"/>
    <w:multiLevelType w:val="multilevel"/>
    <w:tmpl w:val="148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13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EB"/>
    <w:rsid w:val="00023319"/>
    <w:rsid w:val="00046484"/>
    <w:rsid w:val="000557B3"/>
    <w:rsid w:val="00073A12"/>
    <w:rsid w:val="000F1048"/>
    <w:rsid w:val="000F36A8"/>
    <w:rsid w:val="00156202"/>
    <w:rsid w:val="001846C6"/>
    <w:rsid w:val="001A3111"/>
    <w:rsid w:val="00271F22"/>
    <w:rsid w:val="002936D9"/>
    <w:rsid w:val="002D43B6"/>
    <w:rsid w:val="0036019B"/>
    <w:rsid w:val="003A264C"/>
    <w:rsid w:val="003B0D49"/>
    <w:rsid w:val="00487569"/>
    <w:rsid w:val="004903EB"/>
    <w:rsid w:val="00491BD7"/>
    <w:rsid w:val="00625043"/>
    <w:rsid w:val="007575CF"/>
    <w:rsid w:val="007772C4"/>
    <w:rsid w:val="007D019C"/>
    <w:rsid w:val="007D58D5"/>
    <w:rsid w:val="008349CF"/>
    <w:rsid w:val="008509DE"/>
    <w:rsid w:val="008A7E5D"/>
    <w:rsid w:val="008C5B2B"/>
    <w:rsid w:val="00AD24A4"/>
    <w:rsid w:val="00B41E63"/>
    <w:rsid w:val="00B52BAB"/>
    <w:rsid w:val="00BF5C09"/>
    <w:rsid w:val="00CD03AD"/>
    <w:rsid w:val="00CD1E1C"/>
    <w:rsid w:val="00D04EB3"/>
    <w:rsid w:val="00DC6D63"/>
    <w:rsid w:val="00F25320"/>
    <w:rsid w:val="00F34DF1"/>
    <w:rsid w:val="00F363E4"/>
    <w:rsid w:val="00F37CD8"/>
    <w:rsid w:val="00F952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623E"/>
  <w15:chartTrackingRefBased/>
  <w15:docId w15:val="{044053FA-5AF8-40C5-84D8-439A99C0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903EB"/>
    <w:rPr>
      <w:color w:val="0563C1" w:themeColor="hyperlink"/>
      <w:u w:val="single"/>
    </w:rPr>
  </w:style>
  <w:style w:type="character" w:styleId="Mencinsinresolver">
    <w:name w:val="Unresolved Mention"/>
    <w:basedOn w:val="Fuentedeprrafopredeter"/>
    <w:uiPriority w:val="99"/>
    <w:semiHidden/>
    <w:unhideWhenUsed/>
    <w:rsid w:val="004903EB"/>
    <w:rPr>
      <w:color w:val="605E5C"/>
      <w:shd w:val="clear" w:color="auto" w:fill="E1DFDD"/>
    </w:rPr>
  </w:style>
  <w:style w:type="paragraph" w:styleId="Encabezado">
    <w:name w:val="header"/>
    <w:basedOn w:val="Normal"/>
    <w:link w:val="EncabezadoCar"/>
    <w:uiPriority w:val="99"/>
    <w:unhideWhenUsed/>
    <w:rsid w:val="004903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03EB"/>
  </w:style>
  <w:style w:type="paragraph" w:styleId="Piedepgina">
    <w:name w:val="footer"/>
    <w:basedOn w:val="Normal"/>
    <w:link w:val="PiedepginaCar"/>
    <w:uiPriority w:val="99"/>
    <w:unhideWhenUsed/>
    <w:rsid w:val="004903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0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338651">
      <w:bodyDiv w:val="1"/>
      <w:marLeft w:val="0"/>
      <w:marRight w:val="0"/>
      <w:marTop w:val="0"/>
      <w:marBottom w:val="0"/>
      <w:divBdr>
        <w:top w:val="none" w:sz="0" w:space="0" w:color="auto"/>
        <w:left w:val="none" w:sz="0" w:space="0" w:color="auto"/>
        <w:bottom w:val="none" w:sz="0" w:space="0" w:color="auto"/>
        <w:right w:val="none" w:sz="0" w:space="0" w:color="auto"/>
      </w:divBdr>
    </w:div>
    <w:div w:id="339434600">
      <w:bodyDiv w:val="1"/>
      <w:marLeft w:val="0"/>
      <w:marRight w:val="0"/>
      <w:marTop w:val="0"/>
      <w:marBottom w:val="0"/>
      <w:divBdr>
        <w:top w:val="none" w:sz="0" w:space="0" w:color="auto"/>
        <w:left w:val="none" w:sz="0" w:space="0" w:color="auto"/>
        <w:bottom w:val="none" w:sz="0" w:space="0" w:color="auto"/>
        <w:right w:val="none" w:sz="0" w:space="0" w:color="auto"/>
      </w:divBdr>
    </w:div>
    <w:div w:id="368527100">
      <w:bodyDiv w:val="1"/>
      <w:marLeft w:val="0"/>
      <w:marRight w:val="0"/>
      <w:marTop w:val="0"/>
      <w:marBottom w:val="0"/>
      <w:divBdr>
        <w:top w:val="none" w:sz="0" w:space="0" w:color="auto"/>
        <w:left w:val="none" w:sz="0" w:space="0" w:color="auto"/>
        <w:bottom w:val="none" w:sz="0" w:space="0" w:color="auto"/>
        <w:right w:val="none" w:sz="0" w:space="0" w:color="auto"/>
      </w:divBdr>
    </w:div>
    <w:div w:id="1788691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01597B-32B6-4DC4-A12C-7B74326D5912}">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98B65ABA-5CB8-46D1-8442-AC5A90A983E6}"/>
</file>

<file path=customXml/itemProps3.xml><?xml version="1.0" encoding="utf-8"?>
<ds:datastoreItem xmlns:ds="http://schemas.openxmlformats.org/officeDocument/2006/customXml" ds:itemID="{383079E9-81A7-4BC4-9509-930C9C6090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616</Words>
  <Characters>3394</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Alfonso Morales Cabrera</dc:creator>
  <cp:keywords/>
  <dc:description/>
  <cp:lastModifiedBy>Nicolás Cruz Ríos</cp:lastModifiedBy>
  <cp:revision>16</cp:revision>
  <dcterms:created xsi:type="dcterms:W3CDTF">2026-05-06T22:00:00Z</dcterms:created>
  <dcterms:modified xsi:type="dcterms:W3CDTF">2026-05-07T21:50:00Z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2026-05-06T16:12:06Z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469d87ab-bb54-4242-8b45-52f59cd1ef55</vt:lpwstr>
  </property>
  <property fmtid="{D5CDD505-2E9C-101B-9397-08002B2CF9AE}" pid="9" name="MSIP_Label_fc111285-cafa-4fc9-8a9a-bd902089b24f_ContentBits">
    <vt:lpwstr>0</vt:lpwstr>
  </property>
  <property fmtid="{D5CDD505-2E9C-101B-9397-08002B2CF9AE}" pid="10" name="MSIP_Label_fc111285-cafa-4fc9-8a9a-bd902089b24f_Tag">
    <vt:lpwstr>50, 0, 1, 1</vt:lpwstr>
  </property>
  <property fmtid="{D5CDD505-2E9C-101B-9397-08002B2CF9AE}" pid="11" name="MediaServiceImageTags">
    <vt:lpwstr/>
  </property>
  <property fmtid="{D5CDD505-2E9C-101B-9397-08002B2CF9AE}" pid="12" name="Order">
    <vt:r8>83863200</vt:r8>
  </property>
  <property fmtid="{D5CDD505-2E9C-101B-9397-08002B2CF9AE}" pid="13" name="xd_Signature">
    <vt:bool>false</vt:bool>
  </property>
  <property fmtid="{D5CDD505-2E9C-101B-9397-08002B2CF9AE}" pid="14" name="xd_ProgID">
    <vt:lpwstr/>
  </property>
  <property fmtid="{D5CDD505-2E9C-101B-9397-08002B2CF9AE}" pid="15" name="_SourceUrl">
    <vt:lpwstr/>
  </property>
  <property fmtid="{D5CDD505-2E9C-101B-9397-08002B2CF9AE}" pid="16" name="_SharedFileIndex">
    <vt:lpwstr/>
  </property>
  <property fmtid="{D5CDD505-2E9C-101B-9397-08002B2CF9AE}" pid="17" name="ComplianceAssetId">
    <vt:lpwstr/>
  </property>
  <property fmtid="{D5CDD505-2E9C-101B-9397-08002B2CF9AE}" pid="18" name="TemplateUrl">
    <vt:lpwstr/>
  </property>
  <property fmtid="{D5CDD505-2E9C-101B-9397-08002B2CF9AE}" pid="19" name="_ExtendedDescription">
    <vt:lpwstr/>
  </property>
  <property fmtid="{D5CDD505-2E9C-101B-9397-08002B2CF9AE}" pid="20" name="TriggerFlowInfo">
    <vt:lpwstr/>
  </property>
</Properties>
</file>