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8F9FD" w14:textId="0BE56706" w:rsidR="00F04A45" w:rsidRDefault="00026DD6" w:rsidP="00026DD6">
      <w:pPr>
        <w:spacing w:after="0" w:line="276" w:lineRule="auto"/>
        <w:jc w:val="center"/>
        <w:rPr>
          <w:rFonts w:ascii="Arial" w:hAnsi="Arial" w:cs="Arial"/>
          <w:b/>
          <w:bCs/>
          <w:sz w:val="20"/>
          <w:szCs w:val="20"/>
        </w:rPr>
      </w:pPr>
      <w:r w:rsidRPr="00F04A45">
        <w:rPr>
          <w:rFonts w:ascii="Arial" w:hAnsi="Arial" w:cs="Arial"/>
          <w:b/>
          <w:bCs/>
          <w:sz w:val="20"/>
          <w:szCs w:val="20"/>
        </w:rPr>
        <w:t>ESTRATEGIA COMERCIAL PARA LA COMPETITIVIDAD</w:t>
      </w:r>
    </w:p>
    <w:p w14:paraId="2165A9F9" w14:textId="77777777" w:rsidR="00026DD6" w:rsidRPr="00F04A45" w:rsidRDefault="00026DD6" w:rsidP="00026DD6">
      <w:pPr>
        <w:spacing w:after="0" w:line="276" w:lineRule="auto"/>
        <w:jc w:val="center"/>
        <w:rPr>
          <w:rFonts w:ascii="Arial" w:hAnsi="Arial" w:cs="Arial"/>
          <w:b/>
          <w:bCs/>
          <w:sz w:val="20"/>
          <w:szCs w:val="20"/>
        </w:rPr>
      </w:pPr>
    </w:p>
    <w:p w14:paraId="0039D3DF" w14:textId="77777777" w:rsidR="00F1006C" w:rsidRDefault="00F04A45" w:rsidP="0008709E">
      <w:pPr>
        <w:spacing w:after="0" w:line="276" w:lineRule="auto"/>
        <w:rPr>
          <w:rFonts w:ascii="Arial" w:hAnsi="Arial" w:cs="Arial"/>
          <w:sz w:val="20"/>
          <w:szCs w:val="20"/>
        </w:rPr>
      </w:pPr>
      <w:r w:rsidRPr="00F04A45">
        <w:rPr>
          <w:rFonts w:ascii="Arial" w:hAnsi="Arial" w:cs="Arial"/>
          <w:sz w:val="20"/>
          <w:szCs w:val="20"/>
        </w:rPr>
        <w:t xml:space="preserve">La estrategia comercial constituye el eje integrador que orienta las decisiones relacionadas con la generación de valor para el cliente y el logro de los objetivos de crecimiento organizacional. Más que un conjunto de acciones orientadas a incrementar las ventas, representa un proceso sistemático mediante el cual la organización interpreta las condiciones del mercado, evalúa sus capacidades internas y define la mejor forma de competir en un entorno dinámico. Su formulación exige comprender cómo interactúan variables como el comportamiento del consumidor, la intensidad competitiva, la propuesta de valor, los canales de comercialización y las tendencias del entorno económico. </w:t>
      </w:r>
    </w:p>
    <w:p w14:paraId="1EF518EA" w14:textId="77777777" w:rsidR="00F1006C" w:rsidRDefault="00F1006C" w:rsidP="0008709E">
      <w:pPr>
        <w:spacing w:after="0" w:line="276" w:lineRule="auto"/>
        <w:rPr>
          <w:rFonts w:ascii="Arial" w:hAnsi="Arial" w:cs="Arial"/>
          <w:sz w:val="20"/>
          <w:szCs w:val="20"/>
        </w:rPr>
      </w:pPr>
    </w:p>
    <w:p w14:paraId="42DB3959" w14:textId="4581C87C" w:rsidR="00F04A45" w:rsidRDefault="00F04A45" w:rsidP="0008709E">
      <w:pPr>
        <w:spacing w:after="0" w:line="276" w:lineRule="auto"/>
        <w:rPr>
          <w:rFonts w:ascii="Arial" w:hAnsi="Arial" w:cs="Arial"/>
          <w:sz w:val="20"/>
          <w:szCs w:val="20"/>
        </w:rPr>
      </w:pPr>
      <w:r w:rsidRPr="00F04A45">
        <w:rPr>
          <w:rFonts w:ascii="Arial" w:hAnsi="Arial" w:cs="Arial"/>
          <w:sz w:val="20"/>
          <w:szCs w:val="20"/>
        </w:rPr>
        <w:t xml:space="preserve">Cuando estas variables se analizan de manera articulada, la empresa puede establecer objetivos comerciales realistas y diseñar acciones coherentes con su posicionamiento. En consecuencia, una estrategia comercial eficaz no responde únicamente a necesidades de corto plazo, sino que busca construir relaciones sostenibles con los clientes, fortalecer la presencia en el mercado y consolidar ventajas competitivas difíciles de replicar por la competencia. </w:t>
      </w:r>
    </w:p>
    <w:p w14:paraId="44EFA32F" w14:textId="77777777" w:rsidR="00026DD6" w:rsidRPr="00F04A45" w:rsidRDefault="00026DD6" w:rsidP="0008709E">
      <w:pPr>
        <w:spacing w:after="0" w:line="276" w:lineRule="auto"/>
        <w:rPr>
          <w:rFonts w:ascii="Arial" w:hAnsi="Arial" w:cs="Arial"/>
          <w:sz w:val="20"/>
          <w:szCs w:val="20"/>
        </w:rPr>
      </w:pPr>
    </w:p>
    <w:p w14:paraId="3C1B2E52" w14:textId="77777777" w:rsidR="00F1006C" w:rsidRDefault="00F04A45" w:rsidP="0008709E">
      <w:pPr>
        <w:spacing w:after="0" w:line="276" w:lineRule="auto"/>
        <w:rPr>
          <w:rFonts w:ascii="Arial" w:hAnsi="Arial" w:cs="Arial"/>
          <w:sz w:val="20"/>
          <w:szCs w:val="20"/>
        </w:rPr>
      </w:pPr>
      <w:r w:rsidRPr="00F04A45">
        <w:rPr>
          <w:rFonts w:ascii="Arial" w:hAnsi="Arial" w:cs="Arial"/>
          <w:sz w:val="20"/>
          <w:szCs w:val="20"/>
        </w:rPr>
        <w:t xml:space="preserve">La construcción de una estrategia comercial requiere integrar información proveniente del análisis del mercado, el perfilamiento de clientes, la evaluación de la competencia y la definición de indicadores que permitan medir el desempeño de las acciones implementadas. Este proceso implica establecer segmentos prioritarios, determinar propuestas de valor diferenciadas, seleccionar canales de comunicación y comercialización, diseñar políticas de precios y definir mecanismos de seguimiento que faciliten la mejora continua. </w:t>
      </w:r>
    </w:p>
    <w:p w14:paraId="44B430EB" w14:textId="77777777" w:rsidR="00F1006C" w:rsidRDefault="00F1006C" w:rsidP="0008709E">
      <w:pPr>
        <w:spacing w:after="0" w:line="276" w:lineRule="auto"/>
        <w:rPr>
          <w:rFonts w:ascii="Arial" w:hAnsi="Arial" w:cs="Arial"/>
          <w:sz w:val="20"/>
          <w:szCs w:val="20"/>
        </w:rPr>
      </w:pPr>
    </w:p>
    <w:p w14:paraId="6F33EE62" w14:textId="79CCE683" w:rsidR="00F04A45" w:rsidRDefault="00F04A45" w:rsidP="0008709E">
      <w:pPr>
        <w:spacing w:after="0" w:line="276" w:lineRule="auto"/>
        <w:rPr>
          <w:rFonts w:ascii="Arial" w:hAnsi="Arial" w:cs="Arial"/>
          <w:sz w:val="20"/>
          <w:szCs w:val="20"/>
        </w:rPr>
      </w:pPr>
      <w:r w:rsidRPr="00F04A45">
        <w:rPr>
          <w:rFonts w:ascii="Arial" w:hAnsi="Arial" w:cs="Arial"/>
          <w:sz w:val="20"/>
          <w:szCs w:val="20"/>
        </w:rPr>
        <w:t>Ninguno de estos componentes genera resultados de manera aislada; por el contrario, su efectividad depende de la coherencia existente entre ellos y de su alineación con los objetivos estratégicos de la organización. Herramientas como el análisis de mercados, la inteligencia comercial, los sistemas de gestión de relaciones con clientes (</w:t>
      </w:r>
      <w:proofErr w:type="spellStart"/>
      <w:r w:rsidRPr="00F04A45">
        <w:rPr>
          <w:rFonts w:ascii="Arial" w:hAnsi="Arial" w:cs="Arial"/>
          <w:i/>
          <w:iCs/>
          <w:sz w:val="20"/>
          <w:szCs w:val="20"/>
        </w:rPr>
        <w:t>Customer</w:t>
      </w:r>
      <w:proofErr w:type="spellEnd"/>
      <w:r w:rsidRPr="00F04A45">
        <w:rPr>
          <w:rFonts w:ascii="Arial" w:hAnsi="Arial" w:cs="Arial"/>
          <w:i/>
          <w:iCs/>
          <w:sz w:val="20"/>
          <w:szCs w:val="20"/>
        </w:rPr>
        <w:t xml:space="preserve"> </w:t>
      </w:r>
      <w:proofErr w:type="spellStart"/>
      <w:r w:rsidRPr="00F04A45">
        <w:rPr>
          <w:rFonts w:ascii="Arial" w:hAnsi="Arial" w:cs="Arial"/>
          <w:i/>
          <w:iCs/>
          <w:sz w:val="20"/>
          <w:szCs w:val="20"/>
        </w:rPr>
        <w:t>Relationship</w:t>
      </w:r>
      <w:proofErr w:type="spellEnd"/>
      <w:r w:rsidRPr="00F04A45">
        <w:rPr>
          <w:rFonts w:ascii="Arial" w:hAnsi="Arial" w:cs="Arial"/>
          <w:i/>
          <w:iCs/>
          <w:sz w:val="20"/>
          <w:szCs w:val="20"/>
        </w:rPr>
        <w:t xml:space="preserve"> Management</w:t>
      </w:r>
      <w:r w:rsidRPr="00F04A45">
        <w:rPr>
          <w:rFonts w:ascii="Arial" w:hAnsi="Arial" w:cs="Arial"/>
          <w:sz w:val="20"/>
          <w:szCs w:val="20"/>
        </w:rPr>
        <w:t xml:space="preserve"> o </w:t>
      </w:r>
      <w:r w:rsidRPr="00F04A45">
        <w:rPr>
          <w:rFonts w:ascii="Arial" w:hAnsi="Arial" w:cs="Arial"/>
          <w:i/>
          <w:iCs/>
          <w:sz w:val="20"/>
          <w:szCs w:val="20"/>
        </w:rPr>
        <w:t>CRM</w:t>
      </w:r>
      <w:r w:rsidRPr="00F04A45">
        <w:rPr>
          <w:rFonts w:ascii="Arial" w:hAnsi="Arial" w:cs="Arial"/>
          <w:sz w:val="20"/>
          <w:szCs w:val="20"/>
        </w:rPr>
        <w:t xml:space="preserve">), el análisis de indicadores comerciales y la planeación estratégica proporcionan información para reducir la incertidumbre y orientar decisiones fundamentadas en evidencia. De esta forma, la estrategia comercial se convierte en un sistema de coordinación que permite anticipar cambios del mercado, optimizar recursos y responder con mayor rapidez a las oportunidades identificadas. </w:t>
      </w:r>
    </w:p>
    <w:p w14:paraId="3580D8B9" w14:textId="77777777" w:rsidR="00026DD6" w:rsidRPr="00F04A45" w:rsidRDefault="00026DD6" w:rsidP="0008709E">
      <w:pPr>
        <w:spacing w:after="0" w:line="276" w:lineRule="auto"/>
        <w:rPr>
          <w:rFonts w:ascii="Arial" w:hAnsi="Arial" w:cs="Arial"/>
          <w:sz w:val="20"/>
          <w:szCs w:val="20"/>
        </w:rPr>
      </w:pPr>
    </w:p>
    <w:p w14:paraId="642C269E" w14:textId="77777777" w:rsidR="00F1006C" w:rsidRDefault="00F04A45" w:rsidP="0008709E">
      <w:pPr>
        <w:spacing w:after="0" w:line="276" w:lineRule="auto"/>
        <w:rPr>
          <w:rFonts w:ascii="Arial" w:hAnsi="Arial" w:cs="Arial"/>
          <w:sz w:val="20"/>
          <w:szCs w:val="20"/>
        </w:rPr>
      </w:pPr>
      <w:r w:rsidRPr="00F04A45">
        <w:rPr>
          <w:rFonts w:ascii="Arial" w:hAnsi="Arial" w:cs="Arial"/>
          <w:sz w:val="20"/>
          <w:szCs w:val="20"/>
        </w:rPr>
        <w:t xml:space="preserve">Desde una perspectiva organizacional, la estrategia comercial adquiere verdadero valor cuando se incorpora como un proceso continuo de evaluación, aprendizaje y adaptación. Las condiciones del mercado evolucionan permanentemente debido a cambios tecnológicos, transformaciones en las preferencias de los consumidores y nuevas dinámicas competitivas, por lo que las decisiones comerciales requieren una revisión constante para mantener su efectividad. </w:t>
      </w:r>
    </w:p>
    <w:p w14:paraId="00F69EF8" w14:textId="77777777" w:rsidR="00F1006C" w:rsidRDefault="00F1006C" w:rsidP="0008709E">
      <w:pPr>
        <w:spacing w:after="0" w:line="276" w:lineRule="auto"/>
        <w:rPr>
          <w:rFonts w:ascii="Arial" w:hAnsi="Arial" w:cs="Arial"/>
          <w:sz w:val="20"/>
          <w:szCs w:val="20"/>
        </w:rPr>
      </w:pPr>
    </w:p>
    <w:p w14:paraId="364D2AC0" w14:textId="0CD2759C" w:rsidR="00F04A45" w:rsidRDefault="00F04A45" w:rsidP="0008709E">
      <w:pPr>
        <w:spacing w:after="0" w:line="276" w:lineRule="auto"/>
        <w:rPr>
          <w:rFonts w:ascii="Arial" w:hAnsi="Arial" w:cs="Arial"/>
          <w:sz w:val="20"/>
          <w:szCs w:val="20"/>
        </w:rPr>
      </w:pPr>
      <w:r w:rsidRPr="00F04A45">
        <w:rPr>
          <w:rFonts w:ascii="Arial" w:hAnsi="Arial" w:cs="Arial"/>
          <w:sz w:val="20"/>
          <w:szCs w:val="20"/>
        </w:rPr>
        <w:t xml:space="preserve">En este contexto, la medición de resultados mediante indicadores de desempeño, el análisis de la respuesta del mercado y la retroalimentación obtenida durante la interacción con los clientes permiten ajustar las acciones comerciales y fortalecer la capacidad de respuesta de la organización. Esta visión convierte la estrategia comercial en un mecanismo de dirección que integra información, análisis y ejecución para respaldar decisiones de alto impacto. Cuando la organización desarrolla estrategias sustentadas en conocimiento del mercado, coordinación entre sus procesos y orientación permanente al cliente, incrementa su capacidad para diferenciarse, </w:t>
      </w:r>
      <w:r w:rsidRPr="00F04A45">
        <w:rPr>
          <w:rFonts w:ascii="Arial" w:hAnsi="Arial" w:cs="Arial"/>
          <w:sz w:val="20"/>
          <w:szCs w:val="20"/>
        </w:rPr>
        <w:lastRenderedPageBreak/>
        <w:t xml:space="preserve">aprovechar oportunidades de crecimiento y construir ventajas competitivas sostenibles que favorecen tanto el posicionamiento como la rentabilidad en el largo plazo. </w:t>
      </w:r>
    </w:p>
    <w:p w14:paraId="77CA97F8" w14:textId="77777777" w:rsidR="00026DD6" w:rsidRPr="00F04A45" w:rsidRDefault="00026DD6" w:rsidP="0008709E">
      <w:pPr>
        <w:spacing w:after="0" w:line="276" w:lineRule="auto"/>
        <w:rPr>
          <w:rFonts w:ascii="Arial" w:hAnsi="Arial" w:cs="Arial"/>
          <w:sz w:val="20"/>
          <w:szCs w:val="20"/>
        </w:rPr>
      </w:pPr>
    </w:p>
    <w:p w14:paraId="496DD90C" w14:textId="77777777" w:rsidR="00F04A45" w:rsidRPr="00F04A45" w:rsidRDefault="00F04A45" w:rsidP="0008709E">
      <w:pPr>
        <w:spacing w:after="0" w:line="276" w:lineRule="auto"/>
        <w:rPr>
          <w:rFonts w:ascii="Arial" w:hAnsi="Arial" w:cs="Arial"/>
          <w:b/>
          <w:bCs/>
          <w:sz w:val="20"/>
          <w:szCs w:val="20"/>
        </w:rPr>
      </w:pPr>
      <w:r w:rsidRPr="00F04A45">
        <w:rPr>
          <w:rFonts w:ascii="Arial" w:hAnsi="Arial" w:cs="Arial"/>
          <w:b/>
          <w:bCs/>
          <w:sz w:val="20"/>
          <w:szCs w:val="20"/>
        </w:rPr>
        <w:t>Referencias</w:t>
      </w:r>
    </w:p>
    <w:p w14:paraId="43F4FFE6" w14:textId="02DAAB18" w:rsidR="00F04A45" w:rsidRPr="0008709E" w:rsidRDefault="00F04A45" w:rsidP="0008709E">
      <w:pPr>
        <w:spacing w:after="0" w:line="276" w:lineRule="auto"/>
        <w:ind w:left="1066" w:hanging="709"/>
        <w:rPr>
          <w:rFonts w:ascii="Arial" w:hAnsi="Arial" w:cs="Arial"/>
          <w:sz w:val="20"/>
          <w:szCs w:val="20"/>
        </w:rPr>
      </w:pPr>
      <w:r w:rsidRPr="0008709E">
        <w:rPr>
          <w:rFonts w:ascii="Arial" w:hAnsi="Arial" w:cs="Arial"/>
          <w:sz w:val="20"/>
          <w:szCs w:val="20"/>
        </w:rPr>
        <w:t xml:space="preserve">Porras-Nieto, L., Orrego, G. A., &amp; Cáceres-Caballero, J. A. (2020). Pequeñas y medianas empresas y estrategia comercial: caso CONEMPRE Bucaramanga, Colombia. </w:t>
      </w:r>
      <w:proofErr w:type="spellStart"/>
      <w:r w:rsidRPr="0008709E">
        <w:rPr>
          <w:rFonts w:ascii="Arial" w:hAnsi="Arial" w:cs="Arial"/>
          <w:sz w:val="20"/>
          <w:szCs w:val="20"/>
        </w:rPr>
        <w:t>AiBi</w:t>
      </w:r>
      <w:proofErr w:type="spellEnd"/>
      <w:r w:rsidRPr="0008709E">
        <w:rPr>
          <w:rFonts w:ascii="Arial" w:hAnsi="Arial" w:cs="Arial"/>
          <w:sz w:val="20"/>
          <w:szCs w:val="20"/>
        </w:rPr>
        <w:t xml:space="preserve"> Revista de Investigación, Administración e Ingeniería, 8(3), 67–73. </w:t>
      </w:r>
      <w:hyperlink r:id="rId10" w:history="1">
        <w:r w:rsidR="00F72AA1" w:rsidRPr="0008709E">
          <w:rPr>
            <w:rStyle w:val="Hyperlink"/>
            <w:rFonts w:ascii="Arial" w:hAnsi="Arial" w:cs="Arial"/>
            <w:sz w:val="20"/>
            <w:szCs w:val="20"/>
          </w:rPr>
          <w:t>https://doi.org/10.15</w:t>
        </w:r>
        <w:r w:rsidR="00F72AA1" w:rsidRPr="0008709E">
          <w:rPr>
            <w:rStyle w:val="Hyperlink"/>
            <w:rFonts w:ascii="Arial" w:hAnsi="Arial" w:cs="Arial"/>
            <w:sz w:val="20"/>
            <w:szCs w:val="20"/>
          </w:rPr>
          <w:t>6</w:t>
        </w:r>
        <w:r w:rsidR="00F72AA1" w:rsidRPr="0008709E">
          <w:rPr>
            <w:rStyle w:val="Hyperlink"/>
            <w:rFonts w:ascii="Arial" w:hAnsi="Arial" w:cs="Arial"/>
            <w:sz w:val="20"/>
            <w:szCs w:val="20"/>
          </w:rPr>
          <w:t>49/2346030X.890</w:t>
        </w:r>
      </w:hyperlink>
      <w:r w:rsidR="00F72AA1" w:rsidRPr="0008709E">
        <w:rPr>
          <w:rFonts w:ascii="Arial" w:hAnsi="Arial" w:cs="Arial"/>
          <w:sz w:val="20"/>
          <w:szCs w:val="20"/>
        </w:rPr>
        <w:t xml:space="preserve"> </w:t>
      </w:r>
      <w:r w:rsidRPr="0008709E">
        <w:rPr>
          <w:rFonts w:ascii="Arial" w:hAnsi="Arial" w:cs="Arial"/>
          <w:sz w:val="20"/>
          <w:szCs w:val="20"/>
        </w:rPr>
        <w:t xml:space="preserve"> </w:t>
      </w:r>
    </w:p>
    <w:p w14:paraId="7B8D53E8" w14:textId="77777777" w:rsidR="00F04A45" w:rsidRPr="0008709E" w:rsidRDefault="00F04A45" w:rsidP="0008709E">
      <w:pPr>
        <w:spacing w:after="0" w:line="276" w:lineRule="auto"/>
        <w:ind w:left="1066" w:hanging="709"/>
        <w:rPr>
          <w:rFonts w:ascii="Arial" w:hAnsi="Arial" w:cs="Arial"/>
          <w:sz w:val="20"/>
          <w:szCs w:val="20"/>
        </w:rPr>
      </w:pPr>
      <w:r w:rsidRPr="0008709E">
        <w:rPr>
          <w:rFonts w:ascii="Arial" w:hAnsi="Arial" w:cs="Arial"/>
          <w:sz w:val="20"/>
          <w:szCs w:val="20"/>
        </w:rPr>
        <w:t xml:space="preserve">Caballero Sánchez de Puerta, P. (2014). Estrategia y organización comercial. Editorial CEP. </w:t>
      </w:r>
      <w:hyperlink r:id="rId11" w:tgtFrame="_new" w:history="1">
        <w:r w:rsidRPr="0008709E">
          <w:rPr>
            <w:rStyle w:val="Hyperlink"/>
            <w:rFonts w:ascii="Arial" w:hAnsi="Arial" w:cs="Arial"/>
            <w:sz w:val="20"/>
            <w:szCs w:val="20"/>
          </w:rPr>
          <w:t>https://bibliovirtual.pi.edu.co/bi</w:t>
        </w:r>
        <w:r w:rsidRPr="0008709E">
          <w:rPr>
            <w:rStyle w:val="Hyperlink"/>
            <w:rFonts w:ascii="Arial" w:hAnsi="Arial" w:cs="Arial"/>
            <w:sz w:val="20"/>
            <w:szCs w:val="20"/>
          </w:rPr>
          <w:t>b</w:t>
        </w:r>
        <w:r w:rsidRPr="0008709E">
          <w:rPr>
            <w:rStyle w:val="Hyperlink"/>
            <w:rFonts w:ascii="Arial" w:hAnsi="Arial" w:cs="Arial"/>
            <w:sz w:val="20"/>
            <w:szCs w:val="20"/>
          </w:rPr>
          <w:t>/143270</w:t>
        </w:r>
      </w:hyperlink>
      <w:r w:rsidRPr="0008709E">
        <w:rPr>
          <w:rFonts w:ascii="Arial" w:hAnsi="Arial" w:cs="Arial"/>
          <w:sz w:val="20"/>
          <w:szCs w:val="20"/>
        </w:rPr>
        <w:t xml:space="preserve"> </w:t>
      </w:r>
    </w:p>
    <w:p w14:paraId="5691DD91" w14:textId="77777777" w:rsidR="008F52FF" w:rsidRPr="00F71793" w:rsidRDefault="008F52FF" w:rsidP="0008709E">
      <w:pPr>
        <w:spacing w:after="0" w:line="276" w:lineRule="auto"/>
        <w:rPr>
          <w:rFonts w:ascii="Arial" w:hAnsi="Arial" w:cs="Arial"/>
          <w:sz w:val="20"/>
          <w:szCs w:val="20"/>
        </w:rPr>
      </w:pPr>
    </w:p>
    <w:p w14:paraId="19B65363" w14:textId="77777777" w:rsidR="00161F74" w:rsidRPr="00491BD7" w:rsidRDefault="00161F74" w:rsidP="0008709E">
      <w:pPr>
        <w:spacing w:after="0" w:line="276" w:lineRule="auto"/>
        <w:rPr>
          <w:rFonts w:ascii="Arial" w:hAnsi="Arial" w:cs="Arial"/>
          <w:sz w:val="20"/>
          <w:szCs w:val="20"/>
        </w:rPr>
      </w:pPr>
    </w:p>
    <w:sectPr w:rsidR="00161F74" w:rsidRPr="00491BD7" w:rsidSect="004903EB">
      <w:headerReference w:type="default" r:id="rId12"/>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F634D1" w14:textId="77777777" w:rsidR="00762B1C" w:rsidRDefault="00762B1C" w:rsidP="004903EB">
      <w:pPr>
        <w:spacing w:after="0" w:line="240" w:lineRule="auto"/>
      </w:pPr>
      <w:r>
        <w:separator/>
      </w:r>
    </w:p>
  </w:endnote>
  <w:endnote w:type="continuationSeparator" w:id="0">
    <w:p w14:paraId="76D52032" w14:textId="77777777" w:rsidR="00762B1C" w:rsidRDefault="00762B1C"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15515A" w14:textId="77777777" w:rsidR="00762B1C" w:rsidRDefault="00762B1C" w:rsidP="004903EB">
      <w:pPr>
        <w:spacing w:after="0" w:line="240" w:lineRule="auto"/>
      </w:pPr>
      <w:r>
        <w:separator/>
      </w:r>
    </w:p>
  </w:footnote>
  <w:footnote w:type="continuationSeparator" w:id="0">
    <w:p w14:paraId="25512F5A" w14:textId="77777777" w:rsidR="00762B1C" w:rsidRDefault="00762B1C"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Header"/>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E7E74"/>
    <w:multiLevelType w:val="multilevel"/>
    <w:tmpl w:val="0E5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A548D"/>
    <w:multiLevelType w:val="multilevel"/>
    <w:tmpl w:val="DAE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1"/>
  </w:num>
  <w:num w:numId="2" w16cid:durableId="1188132368">
    <w:abstractNumId w:val="2"/>
  </w:num>
  <w:num w:numId="3" w16cid:durableId="6431209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26DD6"/>
    <w:rsid w:val="00046484"/>
    <w:rsid w:val="000557B3"/>
    <w:rsid w:val="00073A12"/>
    <w:rsid w:val="0008709E"/>
    <w:rsid w:val="000C4194"/>
    <w:rsid w:val="000D60D6"/>
    <w:rsid w:val="000F1048"/>
    <w:rsid w:val="000F36A8"/>
    <w:rsid w:val="00156202"/>
    <w:rsid w:val="00161F74"/>
    <w:rsid w:val="001655D9"/>
    <w:rsid w:val="001846C6"/>
    <w:rsid w:val="001A3111"/>
    <w:rsid w:val="001A4C2F"/>
    <w:rsid w:val="00271F22"/>
    <w:rsid w:val="002936D9"/>
    <w:rsid w:val="002D43B6"/>
    <w:rsid w:val="00333E16"/>
    <w:rsid w:val="003476E1"/>
    <w:rsid w:val="0036019B"/>
    <w:rsid w:val="003A264C"/>
    <w:rsid w:val="003B0D49"/>
    <w:rsid w:val="00487569"/>
    <w:rsid w:val="004903EB"/>
    <w:rsid w:val="00491BD7"/>
    <w:rsid w:val="005A23DC"/>
    <w:rsid w:val="00625043"/>
    <w:rsid w:val="007575CF"/>
    <w:rsid w:val="00762B1C"/>
    <w:rsid w:val="007772C4"/>
    <w:rsid w:val="007927D5"/>
    <w:rsid w:val="007B6217"/>
    <w:rsid w:val="007D019C"/>
    <w:rsid w:val="007D58D5"/>
    <w:rsid w:val="00812BB7"/>
    <w:rsid w:val="008349CF"/>
    <w:rsid w:val="008509DE"/>
    <w:rsid w:val="008A7E5D"/>
    <w:rsid w:val="008C5B2B"/>
    <w:rsid w:val="008F52FF"/>
    <w:rsid w:val="00932E7E"/>
    <w:rsid w:val="00AC0055"/>
    <w:rsid w:val="00AD24A4"/>
    <w:rsid w:val="00AD4261"/>
    <w:rsid w:val="00B41E63"/>
    <w:rsid w:val="00B52BAB"/>
    <w:rsid w:val="00BF5C09"/>
    <w:rsid w:val="00CD03AD"/>
    <w:rsid w:val="00CD1E1C"/>
    <w:rsid w:val="00D03176"/>
    <w:rsid w:val="00D04EB3"/>
    <w:rsid w:val="00DC6D63"/>
    <w:rsid w:val="00F04A45"/>
    <w:rsid w:val="00F1006C"/>
    <w:rsid w:val="00F25320"/>
    <w:rsid w:val="00F34DF1"/>
    <w:rsid w:val="00F363E4"/>
    <w:rsid w:val="00F37CD8"/>
    <w:rsid w:val="00F71793"/>
    <w:rsid w:val="00F72AA1"/>
    <w:rsid w:val="00F952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03EB"/>
    <w:rPr>
      <w:color w:val="0563C1" w:themeColor="hyperlink"/>
      <w:u w:val="single"/>
    </w:rPr>
  </w:style>
  <w:style w:type="character" w:styleId="UnresolvedMention">
    <w:name w:val="Unresolved Mention"/>
    <w:basedOn w:val="DefaultParagraphFont"/>
    <w:uiPriority w:val="99"/>
    <w:semiHidden/>
    <w:unhideWhenUsed/>
    <w:rsid w:val="004903EB"/>
    <w:rPr>
      <w:color w:val="605E5C"/>
      <w:shd w:val="clear" w:color="auto" w:fill="E1DFDD"/>
    </w:rPr>
  </w:style>
  <w:style w:type="paragraph" w:styleId="Header">
    <w:name w:val="header"/>
    <w:basedOn w:val="Normal"/>
    <w:link w:val="HeaderChar"/>
    <w:uiPriority w:val="99"/>
    <w:unhideWhenUsed/>
    <w:rsid w:val="004903EB"/>
    <w:pPr>
      <w:tabs>
        <w:tab w:val="center" w:pos="4419"/>
        <w:tab w:val="right" w:pos="8838"/>
      </w:tabs>
      <w:spacing w:after="0" w:line="240" w:lineRule="auto"/>
    </w:pPr>
  </w:style>
  <w:style w:type="character" w:customStyle="1" w:styleId="HeaderChar">
    <w:name w:val="Header Char"/>
    <w:basedOn w:val="DefaultParagraphFont"/>
    <w:link w:val="Header"/>
    <w:uiPriority w:val="99"/>
    <w:rsid w:val="004903EB"/>
  </w:style>
  <w:style w:type="paragraph" w:styleId="Footer">
    <w:name w:val="footer"/>
    <w:basedOn w:val="Normal"/>
    <w:link w:val="FooterChar"/>
    <w:uiPriority w:val="99"/>
    <w:unhideWhenUsed/>
    <w:rsid w:val="004903EB"/>
    <w:pPr>
      <w:tabs>
        <w:tab w:val="center" w:pos="4419"/>
        <w:tab w:val="right" w:pos="8838"/>
      </w:tabs>
      <w:spacing w:after="0" w:line="240" w:lineRule="auto"/>
    </w:pPr>
  </w:style>
  <w:style w:type="character" w:customStyle="1" w:styleId="FooterChar">
    <w:name w:val="Footer Char"/>
    <w:basedOn w:val="DefaultParagraphFont"/>
    <w:link w:val="Footer"/>
    <w:uiPriority w:val="99"/>
    <w:rsid w:val="004903EB"/>
  </w:style>
  <w:style w:type="character" w:styleId="FollowedHyperlink">
    <w:name w:val="FollowedHyperlink"/>
    <w:basedOn w:val="DefaultParagraphFont"/>
    <w:uiPriority w:val="99"/>
    <w:semiHidden/>
    <w:unhideWhenUsed/>
    <w:rsid w:val="007B62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ibliovirtual.pi.edu.co/bib/143270" TargetMode="External"/><Relationship Id="rId5" Type="http://schemas.openxmlformats.org/officeDocument/2006/relationships/styles" Target="styles.xml"/><Relationship Id="rId10" Type="http://schemas.openxmlformats.org/officeDocument/2006/relationships/hyperlink" Target="https://doi.org/10.15649/2346030X.89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29346A-2F13-4847-B516-E6AB89FD1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3.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Jesus Antonio Vecino Valero</cp:lastModifiedBy>
  <cp:revision>5</cp:revision>
  <dcterms:created xsi:type="dcterms:W3CDTF">2026-10-02T02:28:00Z</dcterms:created>
  <dcterms:modified xsi:type="dcterms:W3CDTF">2026-10-06T18:35:00Z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