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174CA" w14:textId="77777777" w:rsidR="00D30A46" w:rsidRDefault="00D30A46" w:rsidP="00D30A46">
      <w:pPr>
        <w:spacing w:after="240" w:line="276" w:lineRule="auto"/>
        <w:ind w:left="426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3F90D9D4" w14:textId="77777777" w:rsidR="00D30A46" w:rsidRDefault="00D30A46" w:rsidP="00D30A46">
      <w:pPr>
        <w:spacing w:after="240" w:line="276" w:lineRule="auto"/>
        <w:ind w:left="426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4A59BC6E" w14:textId="5ADE1CB3" w:rsidR="00D30A46" w:rsidRPr="00D30A46" w:rsidRDefault="00D30A46" w:rsidP="00D30A46">
      <w:pPr>
        <w:spacing w:after="240" w:line="276" w:lineRule="auto"/>
        <w:ind w:left="426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D30A46">
        <w:rPr>
          <w:rFonts w:ascii="Arial" w:hAnsi="Arial" w:cs="Arial"/>
          <w:b/>
          <w:bCs/>
          <w:sz w:val="20"/>
          <w:szCs w:val="20"/>
          <w:lang w:val="es-MX"/>
        </w:rPr>
        <w:t>ANEXO 1.</w:t>
      </w:r>
    </w:p>
    <w:p w14:paraId="4A86A196" w14:textId="1742FF61" w:rsidR="00D30A46" w:rsidRPr="00D30A46" w:rsidRDefault="00D30A46" w:rsidP="00D30A46">
      <w:pPr>
        <w:spacing w:after="240" w:line="276" w:lineRule="auto"/>
        <w:ind w:left="426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D30A46">
        <w:rPr>
          <w:rFonts w:ascii="Arial" w:hAnsi="Arial" w:cs="Arial"/>
          <w:b/>
          <w:bCs/>
          <w:sz w:val="20"/>
          <w:szCs w:val="20"/>
          <w:lang w:val="es-MX"/>
        </w:rPr>
        <w:t>EJEMPLOS DE PROCEDIMIENTOS OPERATIVOS ESTANDARIZADOS DE SANEAMIENTO (POES) PARA EQUIPOS, UTENSILIOS Y ÁREAS DE LA PANADERÍA ARTESANAL</w:t>
      </w:r>
    </w:p>
    <w:p w14:paraId="361DD2A7" w14:textId="77777777" w:rsidR="00D30A46" w:rsidRPr="00D30A46" w:rsidRDefault="00D30A46" w:rsidP="00D30A46">
      <w:pPr>
        <w:spacing w:after="240" w:line="276" w:lineRule="auto"/>
        <w:ind w:left="426"/>
        <w:rPr>
          <w:rFonts w:ascii="Arial" w:hAnsi="Arial" w:cs="Arial"/>
          <w:sz w:val="20"/>
          <w:szCs w:val="20"/>
        </w:rPr>
      </w:pPr>
      <w:r w:rsidRPr="00D30A46">
        <w:rPr>
          <w:rFonts w:ascii="Arial" w:hAnsi="Arial" w:cs="Arial"/>
          <w:sz w:val="20"/>
          <w:szCs w:val="20"/>
          <w:lang w:val="es-MX"/>
        </w:rPr>
        <w:t>Los Procedimientos Operativos Estandarizados de Saneamiento (POES) deben adaptarse a las características de los equipos, utensilios y áreas de trabajo de cada establecimiento. En este anexo se presentan ejemplos de POES aplicables a algunos de los elementos más utilizados en la panadería artesanal, con el propósito de orientar la planificación y ejecución de las actividades de limpieza y desinfección. Estos modelos constituyen una guía de referencia que puede ajustarse de acuerdo con las condiciones operativas, las recomendaciones de los fabricantes y los programas de</w:t>
      </w:r>
      <w:r w:rsidRPr="00D30A46">
        <w:rPr>
          <w:rFonts w:ascii="Arial" w:hAnsi="Arial" w:cs="Arial"/>
          <w:sz w:val="20"/>
          <w:szCs w:val="20"/>
        </w:rPr>
        <w:t xml:space="preserve"> saneamiento implementados en cada organización.</w:t>
      </w:r>
    </w:p>
    <w:p w14:paraId="5ADA5DD0" w14:textId="6325B768" w:rsidR="00D30A46" w:rsidRPr="00D30A46" w:rsidRDefault="00D30A46" w:rsidP="00D30A46">
      <w:pPr>
        <w:numPr>
          <w:ilvl w:val="0"/>
          <w:numId w:val="2"/>
        </w:numPr>
        <w:spacing w:after="240" w:line="276" w:lineRule="auto"/>
        <w:rPr>
          <w:rFonts w:ascii="Arial" w:hAnsi="Arial" w:cs="Arial"/>
          <w:b/>
          <w:bCs/>
          <w:sz w:val="20"/>
          <w:szCs w:val="20"/>
        </w:rPr>
      </w:pPr>
      <w:r w:rsidRPr="00D30A46">
        <w:rPr>
          <w:rFonts w:ascii="Arial" w:hAnsi="Arial" w:cs="Arial"/>
          <w:b/>
          <w:bCs/>
          <w:sz w:val="20"/>
          <w:szCs w:val="20"/>
        </w:rPr>
        <w:t>POES para equipos de panadería</w:t>
      </w:r>
    </w:p>
    <w:p w14:paraId="3D9BF6FD" w14:textId="68B2F006" w:rsidR="00D30A46" w:rsidRPr="006F665A" w:rsidRDefault="00D30A46" w:rsidP="00D30A46">
      <w:pPr>
        <w:spacing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6F665A">
        <w:rPr>
          <w:rFonts w:ascii="Arial" w:hAnsi="Arial" w:cs="Arial"/>
          <w:b/>
          <w:bCs/>
          <w:sz w:val="20"/>
          <w:szCs w:val="20"/>
          <w:lang w:val="es-MX"/>
        </w:rPr>
        <w:t>Tabla 1.</w:t>
      </w:r>
      <w:r w:rsidRPr="006F665A">
        <w:rPr>
          <w:rFonts w:ascii="Arial" w:hAnsi="Arial" w:cs="Arial"/>
          <w:sz w:val="20"/>
          <w:szCs w:val="20"/>
          <w:lang w:val="es-MX"/>
        </w:rPr>
        <w:t xml:space="preserve"> </w:t>
      </w:r>
      <w:r>
        <w:rPr>
          <w:rFonts w:ascii="Arial" w:hAnsi="Arial" w:cs="Arial"/>
          <w:sz w:val="20"/>
          <w:szCs w:val="20"/>
          <w:lang w:val="es-MX"/>
        </w:rPr>
        <w:t>H</w:t>
      </w:r>
      <w:r w:rsidRPr="006F665A">
        <w:rPr>
          <w:rFonts w:ascii="Arial" w:hAnsi="Arial" w:cs="Arial"/>
          <w:sz w:val="20"/>
          <w:szCs w:val="20"/>
          <w:lang w:val="es-MX"/>
        </w:rPr>
        <w:t>orno de convección a gas</w:t>
      </w:r>
    </w:p>
    <w:tbl>
      <w:tblPr>
        <w:tblStyle w:val="Tablaconcuadrcula"/>
        <w:tblW w:w="4755" w:type="pct"/>
        <w:tblInd w:w="421" w:type="dxa"/>
        <w:tblLook w:val="04A0" w:firstRow="1" w:lastRow="0" w:firstColumn="1" w:lastColumn="0" w:noHBand="0" w:noVBand="1"/>
      </w:tblPr>
      <w:tblGrid>
        <w:gridCol w:w="1606"/>
        <w:gridCol w:w="6789"/>
      </w:tblGrid>
      <w:tr w:rsidR="00D30A46" w:rsidRPr="006F665A" w14:paraId="572C2885" w14:textId="77777777" w:rsidTr="0011125B">
        <w:tc>
          <w:tcPr>
            <w:tcW w:w="916" w:type="pct"/>
            <w:shd w:val="clear" w:color="auto" w:fill="2C7FCE" w:themeFill="text2" w:themeFillTint="99"/>
            <w:vAlign w:val="center"/>
            <w:hideMark/>
          </w:tcPr>
          <w:p w14:paraId="235F2B6B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Elemento</w:t>
            </w:r>
          </w:p>
        </w:tc>
        <w:tc>
          <w:tcPr>
            <w:tcW w:w="4084" w:type="pct"/>
            <w:shd w:val="clear" w:color="auto" w:fill="2C7FCE" w:themeFill="text2" w:themeFillTint="99"/>
            <w:vAlign w:val="center"/>
            <w:hideMark/>
          </w:tcPr>
          <w:p w14:paraId="151163BE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D30A46" w:rsidRPr="006F665A" w14:paraId="253EEAB0" w14:textId="77777777" w:rsidTr="0011125B">
        <w:tc>
          <w:tcPr>
            <w:tcW w:w="916" w:type="pct"/>
            <w:vAlign w:val="center"/>
            <w:hideMark/>
          </w:tcPr>
          <w:p w14:paraId="541B4E82" w14:textId="77777777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Objetivo</w:t>
            </w:r>
          </w:p>
        </w:tc>
        <w:tc>
          <w:tcPr>
            <w:tcW w:w="4084" w:type="pct"/>
            <w:hideMark/>
          </w:tcPr>
          <w:p w14:paraId="369FA30D" w14:textId="4CAA4CD9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Eliminar residuos carbonizados y grasa del interior del horno, prevenir contaminación física y olores</w:t>
            </w:r>
          </w:p>
        </w:tc>
      </w:tr>
      <w:tr w:rsidR="00D30A46" w:rsidRPr="006F665A" w14:paraId="33E8CA2C" w14:textId="77777777" w:rsidTr="0011125B">
        <w:tc>
          <w:tcPr>
            <w:tcW w:w="916" w:type="pct"/>
            <w:vAlign w:val="center"/>
            <w:hideMark/>
          </w:tcPr>
          <w:p w14:paraId="79BE27EB" w14:textId="77777777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Frecuencia</w:t>
            </w:r>
          </w:p>
        </w:tc>
        <w:tc>
          <w:tcPr>
            <w:tcW w:w="4084" w:type="pct"/>
            <w:hideMark/>
          </w:tcPr>
          <w:p w14:paraId="0F0E553D" w14:textId="3C530DB4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Diario (al final de la jornada)</w:t>
            </w:r>
          </w:p>
        </w:tc>
      </w:tr>
      <w:tr w:rsidR="00D30A46" w:rsidRPr="006F665A" w14:paraId="00127E3C" w14:textId="77777777" w:rsidTr="0011125B">
        <w:tc>
          <w:tcPr>
            <w:tcW w:w="916" w:type="pct"/>
            <w:vAlign w:val="center"/>
            <w:hideMark/>
          </w:tcPr>
          <w:p w14:paraId="04A0B8A1" w14:textId="77777777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Procedimiento</w:t>
            </w:r>
          </w:p>
        </w:tc>
        <w:tc>
          <w:tcPr>
            <w:tcW w:w="4084" w:type="pct"/>
            <w:hideMark/>
          </w:tcPr>
          <w:p w14:paraId="24D7A645" w14:textId="07B38B40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1. Asegurar que el horno esté apagado y frío (temperatura &lt; 50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°C)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2. Retirar bandejas y rejillas (limpiar por separado)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3. Barrer las paredes y el piso del horno con cepillo de cerdas duras para remover residuos sueltos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4. Limpiar con paño húmedo con detergente neutro (no usar químicos fuertes en piedra refractaria)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5. Enjuagar con paño húmedo con agua potable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6. Desinfección: encender el horno a 200°C durante 30 minutos (calor seco)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7. Dejar enfriar con la puerta abierta</w:t>
            </w:r>
          </w:p>
        </w:tc>
      </w:tr>
      <w:tr w:rsidR="00D30A46" w:rsidRPr="006F665A" w14:paraId="253831F2" w14:textId="77777777" w:rsidTr="0011125B">
        <w:tc>
          <w:tcPr>
            <w:tcW w:w="916" w:type="pct"/>
            <w:vAlign w:val="center"/>
            <w:hideMark/>
          </w:tcPr>
          <w:p w14:paraId="60817D1E" w14:textId="77777777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Verificación</w:t>
            </w:r>
          </w:p>
        </w:tc>
        <w:tc>
          <w:tcPr>
            <w:tcW w:w="4084" w:type="pct"/>
            <w:hideMark/>
          </w:tcPr>
          <w:p w14:paraId="62A9C004" w14:textId="0DF1BB6B" w:rsidR="00D30A46" w:rsidRPr="006F665A" w:rsidRDefault="00D30A46" w:rsidP="00D30A46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Inspección visual: ausencia de residuos negros</w:t>
            </w:r>
          </w:p>
        </w:tc>
      </w:tr>
    </w:tbl>
    <w:p w14:paraId="77E0D83E" w14:textId="77777777" w:rsidR="00D30A46" w:rsidRPr="006F665A" w:rsidRDefault="00D30A46" w:rsidP="00D30A46">
      <w:pPr>
        <w:spacing w:after="240" w:line="276" w:lineRule="auto"/>
        <w:ind w:left="426"/>
        <w:rPr>
          <w:rFonts w:ascii="Arial" w:hAnsi="Arial" w:cs="Arial"/>
          <w:sz w:val="20"/>
          <w:szCs w:val="20"/>
        </w:rPr>
      </w:pPr>
      <w:r w:rsidRPr="006F665A">
        <w:rPr>
          <w:rFonts w:ascii="Arial" w:hAnsi="Arial" w:cs="Arial"/>
          <w:sz w:val="20"/>
          <w:szCs w:val="20"/>
          <w:lang w:val="es-MX"/>
        </w:rPr>
        <w:t xml:space="preserve">Nota. Adaptado de </w:t>
      </w:r>
      <w:r w:rsidRPr="006F665A">
        <w:rPr>
          <w:rFonts w:ascii="Arial" w:hAnsi="Arial" w:cs="Arial"/>
          <w:sz w:val="20"/>
          <w:szCs w:val="20"/>
        </w:rPr>
        <w:t>Horno de convección Wellmix. Referencia: WGCO-613: manual de instrucciones, 2026.</w:t>
      </w:r>
    </w:p>
    <w:p w14:paraId="07D4BFBB" w14:textId="22CE93FA" w:rsidR="00D30A46" w:rsidRPr="006F665A" w:rsidRDefault="00D30A46" w:rsidP="00D30A46">
      <w:pPr>
        <w:spacing w:line="276" w:lineRule="auto"/>
        <w:ind w:left="426"/>
        <w:rPr>
          <w:rFonts w:ascii="Arial" w:hAnsi="Arial" w:cs="Arial"/>
          <w:b/>
          <w:bCs/>
          <w:sz w:val="20"/>
          <w:szCs w:val="20"/>
          <w:lang w:val="es-MX"/>
        </w:rPr>
      </w:pP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Tabla </w:t>
      </w:r>
      <w:r>
        <w:rPr>
          <w:rFonts w:ascii="Arial" w:hAnsi="Arial" w:cs="Arial"/>
          <w:b/>
          <w:bCs/>
          <w:sz w:val="20"/>
          <w:szCs w:val="20"/>
          <w:lang w:val="es-MX"/>
        </w:rPr>
        <w:t>2</w:t>
      </w: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. </w:t>
      </w:r>
      <w:r>
        <w:rPr>
          <w:rFonts w:ascii="Arial" w:hAnsi="Arial" w:cs="Arial"/>
          <w:sz w:val="20"/>
          <w:szCs w:val="20"/>
          <w:lang w:val="es-MX"/>
        </w:rPr>
        <w:t>C</w:t>
      </w:r>
      <w:r w:rsidRPr="006F665A">
        <w:rPr>
          <w:rFonts w:ascii="Arial" w:hAnsi="Arial" w:cs="Arial"/>
          <w:sz w:val="20"/>
          <w:szCs w:val="20"/>
          <w:lang w:val="es-MX"/>
        </w:rPr>
        <w:t>ámara de fermentación</w:t>
      </w:r>
    </w:p>
    <w:tbl>
      <w:tblPr>
        <w:tblStyle w:val="Tablaconcuadrcula"/>
        <w:tblW w:w="4755" w:type="pct"/>
        <w:tblInd w:w="421" w:type="dxa"/>
        <w:tblLook w:val="04A0" w:firstRow="1" w:lastRow="0" w:firstColumn="1" w:lastColumn="0" w:noHBand="0" w:noVBand="1"/>
      </w:tblPr>
      <w:tblGrid>
        <w:gridCol w:w="1606"/>
        <w:gridCol w:w="6789"/>
      </w:tblGrid>
      <w:tr w:rsidR="00D30A46" w:rsidRPr="006F665A" w14:paraId="571E3B03" w14:textId="77777777" w:rsidTr="0011125B">
        <w:tc>
          <w:tcPr>
            <w:tcW w:w="915" w:type="pct"/>
            <w:shd w:val="clear" w:color="auto" w:fill="2C7FCE" w:themeFill="text2" w:themeFillTint="99"/>
            <w:vAlign w:val="center"/>
            <w:hideMark/>
          </w:tcPr>
          <w:p w14:paraId="07CC307E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Elemento</w:t>
            </w:r>
          </w:p>
        </w:tc>
        <w:tc>
          <w:tcPr>
            <w:tcW w:w="4085" w:type="pct"/>
            <w:shd w:val="clear" w:color="auto" w:fill="2C7FCE" w:themeFill="text2" w:themeFillTint="99"/>
            <w:vAlign w:val="center"/>
            <w:hideMark/>
          </w:tcPr>
          <w:p w14:paraId="3F6D1728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D30A46" w:rsidRPr="006F665A" w14:paraId="3D9B6923" w14:textId="77777777" w:rsidTr="0011125B">
        <w:tc>
          <w:tcPr>
            <w:tcW w:w="915" w:type="pct"/>
            <w:hideMark/>
          </w:tcPr>
          <w:p w14:paraId="3DCAC7FE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Frecuencia</w:t>
            </w:r>
          </w:p>
        </w:tc>
        <w:tc>
          <w:tcPr>
            <w:tcW w:w="4085" w:type="pct"/>
            <w:hideMark/>
          </w:tcPr>
          <w:p w14:paraId="27673650" w14:textId="6A0FB52F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Semanal</w:t>
            </w:r>
          </w:p>
        </w:tc>
      </w:tr>
      <w:tr w:rsidR="00D30A46" w:rsidRPr="006F665A" w14:paraId="2622CC48" w14:textId="77777777" w:rsidTr="0011125B">
        <w:tc>
          <w:tcPr>
            <w:tcW w:w="915" w:type="pct"/>
            <w:hideMark/>
          </w:tcPr>
          <w:p w14:paraId="0E1D47E6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Procedimiento</w:t>
            </w:r>
          </w:p>
        </w:tc>
        <w:tc>
          <w:tcPr>
            <w:tcW w:w="4085" w:type="pct"/>
            <w:hideMark/>
          </w:tcPr>
          <w:p w14:paraId="145BF06A" w14:textId="0178788E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1. Desconectar y vaciar la cámara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2. Limpiar paredes, estantes y piso con detergente neutro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lastRenderedPageBreak/>
              <w:t>3. Enjuagar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4. Desinfectar con ácido peracético 150 ppm (rociado), actuar 5 min, enjuagar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5. Secar y encender para secado completo</w:t>
            </w:r>
          </w:p>
        </w:tc>
      </w:tr>
    </w:tbl>
    <w:p w14:paraId="20039B5C" w14:textId="60FDB994" w:rsidR="00D30A46" w:rsidRPr="006F665A" w:rsidRDefault="00D30A46" w:rsidP="00097142">
      <w:pPr>
        <w:spacing w:after="240"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6F665A">
        <w:rPr>
          <w:rFonts w:ascii="Arial" w:hAnsi="Arial" w:cs="Arial"/>
          <w:sz w:val="20"/>
          <w:szCs w:val="20"/>
          <w:lang w:val="es-MX"/>
        </w:rPr>
        <w:lastRenderedPageBreak/>
        <w:t xml:space="preserve">Nota. SENA, </w:t>
      </w:r>
      <w:r w:rsidR="00097142">
        <w:rPr>
          <w:rFonts w:ascii="Arial" w:hAnsi="Arial" w:cs="Arial"/>
          <w:sz w:val="20"/>
          <w:szCs w:val="20"/>
          <w:lang w:val="es-MX"/>
        </w:rPr>
        <w:t>(</w:t>
      </w:r>
      <w:r w:rsidRPr="006F665A">
        <w:rPr>
          <w:rFonts w:ascii="Arial" w:hAnsi="Arial" w:cs="Arial"/>
          <w:sz w:val="20"/>
          <w:szCs w:val="20"/>
          <w:lang w:val="es-MX"/>
        </w:rPr>
        <w:t>2026</w:t>
      </w:r>
      <w:r w:rsidR="00097142">
        <w:rPr>
          <w:rFonts w:ascii="Arial" w:hAnsi="Arial" w:cs="Arial"/>
          <w:sz w:val="20"/>
          <w:szCs w:val="20"/>
          <w:lang w:val="es-MX"/>
        </w:rPr>
        <w:t>)</w:t>
      </w:r>
      <w:r w:rsidRPr="006F665A">
        <w:rPr>
          <w:rFonts w:ascii="Arial" w:hAnsi="Arial" w:cs="Arial"/>
          <w:sz w:val="20"/>
          <w:szCs w:val="20"/>
          <w:lang w:val="es-MX"/>
        </w:rPr>
        <w:t>.</w:t>
      </w:r>
    </w:p>
    <w:p w14:paraId="456BCA8D" w14:textId="2502379C" w:rsidR="00D30A46" w:rsidRPr="00D30A46" w:rsidRDefault="00D30A46" w:rsidP="00D30A46">
      <w:pPr>
        <w:numPr>
          <w:ilvl w:val="0"/>
          <w:numId w:val="2"/>
        </w:numPr>
        <w:spacing w:after="240" w:line="276" w:lineRule="auto"/>
        <w:rPr>
          <w:rFonts w:ascii="Arial" w:hAnsi="Arial" w:cs="Arial"/>
          <w:b/>
          <w:bCs/>
          <w:sz w:val="20"/>
          <w:szCs w:val="20"/>
        </w:rPr>
      </w:pPr>
      <w:r w:rsidRPr="00D30A46">
        <w:rPr>
          <w:rFonts w:ascii="Arial" w:hAnsi="Arial" w:cs="Arial"/>
          <w:b/>
          <w:bCs/>
          <w:sz w:val="20"/>
          <w:szCs w:val="20"/>
        </w:rPr>
        <w:t>POES para utensilios</w:t>
      </w:r>
    </w:p>
    <w:p w14:paraId="53464A8E" w14:textId="0A09B2BA" w:rsidR="00D30A46" w:rsidRPr="006F665A" w:rsidRDefault="00D30A46" w:rsidP="00D30A46">
      <w:pPr>
        <w:spacing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Tabla </w:t>
      </w:r>
      <w:r>
        <w:rPr>
          <w:rFonts w:ascii="Arial" w:hAnsi="Arial" w:cs="Arial"/>
          <w:b/>
          <w:bCs/>
          <w:sz w:val="20"/>
          <w:szCs w:val="20"/>
          <w:lang w:val="es-MX"/>
        </w:rPr>
        <w:t>3</w:t>
      </w:r>
      <w:r w:rsidRPr="006F665A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Pr="00D30A46">
        <w:rPr>
          <w:rFonts w:ascii="Arial" w:hAnsi="Arial" w:cs="Arial"/>
          <w:sz w:val="20"/>
          <w:szCs w:val="20"/>
          <w:lang w:val="es-MX"/>
        </w:rPr>
        <w:t xml:space="preserve"> R</w:t>
      </w:r>
      <w:r w:rsidRPr="00D30A46">
        <w:rPr>
          <w:rFonts w:ascii="Arial" w:hAnsi="Arial" w:cs="Arial"/>
          <w:sz w:val="20"/>
          <w:szCs w:val="20"/>
          <w:lang w:val="es-MX"/>
        </w:rPr>
        <w:t xml:space="preserve">aspadores </w:t>
      </w:r>
      <w:r w:rsidRPr="006F665A">
        <w:rPr>
          <w:rFonts w:ascii="Arial" w:hAnsi="Arial" w:cs="Arial"/>
          <w:sz w:val="20"/>
          <w:szCs w:val="20"/>
          <w:lang w:val="es-MX"/>
        </w:rPr>
        <w:t>y boleadores metálicos</w:t>
      </w:r>
    </w:p>
    <w:tbl>
      <w:tblPr>
        <w:tblStyle w:val="Tablaconcuadrcula"/>
        <w:tblW w:w="4755" w:type="pct"/>
        <w:tblInd w:w="421" w:type="dxa"/>
        <w:tblLook w:val="04A0" w:firstRow="1" w:lastRow="0" w:firstColumn="1" w:lastColumn="0" w:noHBand="0" w:noVBand="1"/>
      </w:tblPr>
      <w:tblGrid>
        <w:gridCol w:w="1606"/>
        <w:gridCol w:w="6789"/>
      </w:tblGrid>
      <w:tr w:rsidR="00D30A46" w:rsidRPr="006F665A" w14:paraId="34D02AD5" w14:textId="77777777" w:rsidTr="0011125B">
        <w:tc>
          <w:tcPr>
            <w:tcW w:w="915" w:type="pct"/>
            <w:shd w:val="clear" w:color="auto" w:fill="2C7FCE" w:themeFill="text2" w:themeFillTint="99"/>
            <w:vAlign w:val="center"/>
            <w:hideMark/>
          </w:tcPr>
          <w:p w14:paraId="4AA7006D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Elemento</w:t>
            </w:r>
          </w:p>
        </w:tc>
        <w:tc>
          <w:tcPr>
            <w:tcW w:w="4085" w:type="pct"/>
            <w:shd w:val="clear" w:color="auto" w:fill="2C7FCE" w:themeFill="text2" w:themeFillTint="99"/>
            <w:vAlign w:val="center"/>
            <w:hideMark/>
          </w:tcPr>
          <w:p w14:paraId="03C84372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D30A46" w:rsidRPr="006F665A" w14:paraId="5199B8A8" w14:textId="77777777" w:rsidTr="0011125B">
        <w:tc>
          <w:tcPr>
            <w:tcW w:w="915" w:type="pct"/>
            <w:hideMark/>
          </w:tcPr>
          <w:p w14:paraId="3107EC9F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Frecuencia</w:t>
            </w:r>
          </w:p>
        </w:tc>
        <w:tc>
          <w:tcPr>
            <w:tcW w:w="4085" w:type="pct"/>
            <w:hideMark/>
          </w:tcPr>
          <w:p w14:paraId="180D4EEE" w14:textId="684594EA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Después de cada uso</w:t>
            </w:r>
          </w:p>
        </w:tc>
      </w:tr>
      <w:tr w:rsidR="00D30A46" w:rsidRPr="006F665A" w14:paraId="6158FC0F" w14:textId="77777777" w:rsidTr="0011125B">
        <w:tc>
          <w:tcPr>
            <w:tcW w:w="915" w:type="pct"/>
            <w:hideMark/>
          </w:tcPr>
          <w:p w14:paraId="114DE7B7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Procedimiento</w:t>
            </w:r>
          </w:p>
        </w:tc>
        <w:tc>
          <w:tcPr>
            <w:tcW w:w="4085" w:type="pct"/>
            <w:hideMark/>
          </w:tcPr>
          <w:p w14:paraId="74BF136C" w14:textId="0EF0E7F2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1. Lavar con detergente y cepillo suave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2. Enjuagar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3. Sumergir en solución de amonio cuaternario 200 ppm durante 10 minutos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4. Dejar escurrir sobre rejilla limpia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5. Almacenar en gabinete cerrado</w:t>
            </w:r>
          </w:p>
        </w:tc>
      </w:tr>
    </w:tbl>
    <w:p w14:paraId="2DCAC5F5" w14:textId="7B3A18F4" w:rsidR="00D30A46" w:rsidRPr="006F665A" w:rsidRDefault="00D30A46" w:rsidP="00097142">
      <w:pPr>
        <w:spacing w:after="240"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6F665A">
        <w:rPr>
          <w:rFonts w:ascii="Arial" w:hAnsi="Arial" w:cs="Arial"/>
          <w:sz w:val="20"/>
          <w:szCs w:val="20"/>
          <w:lang w:val="es-MX"/>
        </w:rPr>
        <w:t xml:space="preserve">Nota. SENA, </w:t>
      </w:r>
      <w:r w:rsidR="00097142">
        <w:rPr>
          <w:rFonts w:ascii="Arial" w:hAnsi="Arial" w:cs="Arial"/>
          <w:sz w:val="20"/>
          <w:szCs w:val="20"/>
          <w:lang w:val="es-MX"/>
        </w:rPr>
        <w:t>(</w:t>
      </w:r>
      <w:r w:rsidRPr="006F665A">
        <w:rPr>
          <w:rFonts w:ascii="Arial" w:hAnsi="Arial" w:cs="Arial"/>
          <w:sz w:val="20"/>
          <w:szCs w:val="20"/>
          <w:lang w:val="es-MX"/>
        </w:rPr>
        <w:t>2026</w:t>
      </w:r>
      <w:r w:rsidR="00097142">
        <w:rPr>
          <w:rFonts w:ascii="Arial" w:hAnsi="Arial" w:cs="Arial"/>
          <w:sz w:val="20"/>
          <w:szCs w:val="20"/>
          <w:lang w:val="es-MX"/>
        </w:rPr>
        <w:t>)</w:t>
      </w:r>
      <w:r w:rsidRPr="006F665A">
        <w:rPr>
          <w:rFonts w:ascii="Arial" w:hAnsi="Arial" w:cs="Arial"/>
          <w:sz w:val="20"/>
          <w:szCs w:val="20"/>
          <w:lang w:val="es-MX"/>
        </w:rPr>
        <w:t>.</w:t>
      </w:r>
    </w:p>
    <w:p w14:paraId="5719212B" w14:textId="3BD6A2C2" w:rsidR="00D30A46" w:rsidRPr="006F665A" w:rsidRDefault="00D30A46" w:rsidP="00D30A46">
      <w:pPr>
        <w:spacing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Tabla </w:t>
      </w:r>
      <w:r>
        <w:rPr>
          <w:rFonts w:ascii="Arial" w:hAnsi="Arial" w:cs="Arial"/>
          <w:b/>
          <w:bCs/>
          <w:sz w:val="20"/>
          <w:szCs w:val="20"/>
          <w:lang w:val="es-MX"/>
        </w:rPr>
        <w:t>4</w:t>
      </w: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. </w:t>
      </w:r>
      <w:r>
        <w:rPr>
          <w:rFonts w:ascii="Arial" w:hAnsi="Arial" w:cs="Arial"/>
          <w:sz w:val="20"/>
          <w:szCs w:val="20"/>
          <w:lang w:val="es-MX"/>
        </w:rPr>
        <w:t>L</w:t>
      </w:r>
      <w:r w:rsidRPr="006F665A">
        <w:rPr>
          <w:rFonts w:ascii="Arial" w:hAnsi="Arial" w:cs="Arial"/>
          <w:sz w:val="20"/>
          <w:szCs w:val="20"/>
          <w:lang w:val="es-MX"/>
        </w:rPr>
        <w:t>ienzos (</w:t>
      </w:r>
      <w:r w:rsidRPr="00D30A46">
        <w:rPr>
          <w:rFonts w:ascii="Arial" w:hAnsi="Arial" w:cs="Arial"/>
          <w:i/>
          <w:iCs/>
          <w:sz w:val="20"/>
          <w:szCs w:val="20"/>
          <w:lang w:val="es-MX"/>
        </w:rPr>
        <w:t>couches</w:t>
      </w:r>
      <w:r w:rsidRPr="006F665A">
        <w:rPr>
          <w:rFonts w:ascii="Arial" w:hAnsi="Arial" w:cs="Arial"/>
          <w:sz w:val="20"/>
          <w:szCs w:val="20"/>
          <w:lang w:val="es-MX"/>
        </w:rPr>
        <w:t>) y canastas de fermentación</w:t>
      </w:r>
    </w:p>
    <w:tbl>
      <w:tblPr>
        <w:tblStyle w:val="Tablaconcuadrcula"/>
        <w:tblW w:w="4755" w:type="pct"/>
        <w:tblInd w:w="421" w:type="dxa"/>
        <w:tblLook w:val="04A0" w:firstRow="1" w:lastRow="0" w:firstColumn="1" w:lastColumn="0" w:noHBand="0" w:noVBand="1"/>
      </w:tblPr>
      <w:tblGrid>
        <w:gridCol w:w="2386"/>
        <w:gridCol w:w="6009"/>
      </w:tblGrid>
      <w:tr w:rsidR="00D30A46" w:rsidRPr="006F665A" w14:paraId="1374D2FF" w14:textId="77777777" w:rsidTr="0011125B">
        <w:tc>
          <w:tcPr>
            <w:tcW w:w="1421" w:type="pct"/>
            <w:shd w:val="clear" w:color="auto" w:fill="2C7FCE" w:themeFill="text2" w:themeFillTint="99"/>
            <w:hideMark/>
          </w:tcPr>
          <w:p w14:paraId="7A1A4E4D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Elemento</w:t>
            </w:r>
          </w:p>
        </w:tc>
        <w:tc>
          <w:tcPr>
            <w:tcW w:w="3579" w:type="pct"/>
            <w:shd w:val="clear" w:color="auto" w:fill="2C7FCE" w:themeFill="text2" w:themeFillTint="99"/>
            <w:hideMark/>
          </w:tcPr>
          <w:p w14:paraId="5E3ADE73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D30A46" w:rsidRPr="006F665A" w14:paraId="7A4414F2" w14:textId="77777777" w:rsidTr="0011125B">
        <w:tc>
          <w:tcPr>
            <w:tcW w:w="1421" w:type="pct"/>
            <w:hideMark/>
          </w:tcPr>
          <w:p w14:paraId="03CF45B9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Frecuencia</w:t>
            </w:r>
          </w:p>
        </w:tc>
        <w:tc>
          <w:tcPr>
            <w:tcW w:w="3579" w:type="pct"/>
            <w:hideMark/>
          </w:tcPr>
          <w:p w14:paraId="41B28FD1" w14:textId="74C7FCE3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Después de cada uso (lienzos), semanal (canastas)</w:t>
            </w:r>
          </w:p>
        </w:tc>
      </w:tr>
      <w:tr w:rsidR="00D30A46" w:rsidRPr="006F665A" w14:paraId="4D0CCABC" w14:textId="77777777" w:rsidTr="0011125B">
        <w:tc>
          <w:tcPr>
            <w:tcW w:w="1421" w:type="pct"/>
            <w:hideMark/>
          </w:tcPr>
          <w:p w14:paraId="20E487D2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Procedimiento (lienzos)</w:t>
            </w:r>
          </w:p>
        </w:tc>
        <w:tc>
          <w:tcPr>
            <w:tcW w:w="3579" w:type="pct"/>
            <w:hideMark/>
          </w:tcPr>
          <w:p w14:paraId="7A3B3929" w14:textId="6B4F9C2F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1. Sacudir el exceso de harina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2. Lavar a máquina con ciclo de agua caliente (&gt;70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°C) y detergente suave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3. Secar en secadora o al aire, pero evitar humedad prolongada</w:t>
            </w:r>
          </w:p>
        </w:tc>
      </w:tr>
      <w:tr w:rsidR="00D30A46" w:rsidRPr="006F665A" w14:paraId="2C4FCC86" w14:textId="77777777" w:rsidTr="0011125B">
        <w:tc>
          <w:tcPr>
            <w:tcW w:w="1421" w:type="pct"/>
            <w:hideMark/>
          </w:tcPr>
          <w:p w14:paraId="7ECA7D43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Procedimiento (canastas plásticas)</w:t>
            </w:r>
          </w:p>
        </w:tc>
        <w:tc>
          <w:tcPr>
            <w:tcW w:w="3579" w:type="pct"/>
            <w:hideMark/>
          </w:tcPr>
          <w:p w14:paraId="393473EB" w14:textId="00A46449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1. Sumergir en solución de hipoclorito 100 ppm durante 10 minutos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2. Cepillar para remover harina incrustada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3. Enjuagar abundantemente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4. Secar al revés</w:t>
            </w:r>
          </w:p>
        </w:tc>
      </w:tr>
    </w:tbl>
    <w:p w14:paraId="0C65F578" w14:textId="0736A75B" w:rsidR="00D30A46" w:rsidRPr="006F665A" w:rsidRDefault="00097142" w:rsidP="00D30A46">
      <w:pPr>
        <w:spacing w:after="240" w:line="276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</w:t>
      </w:r>
      <w:r w:rsidR="00D30A46" w:rsidRPr="006F665A">
        <w:rPr>
          <w:rFonts w:ascii="Arial" w:hAnsi="Arial" w:cs="Arial"/>
          <w:sz w:val="20"/>
          <w:szCs w:val="20"/>
          <w:lang w:val="es-MX"/>
        </w:rPr>
        <w:t xml:space="preserve">Nota. SENA, </w:t>
      </w:r>
      <w:r>
        <w:rPr>
          <w:rFonts w:ascii="Arial" w:hAnsi="Arial" w:cs="Arial"/>
          <w:sz w:val="20"/>
          <w:szCs w:val="20"/>
          <w:lang w:val="es-MX"/>
        </w:rPr>
        <w:t>(</w:t>
      </w:r>
      <w:r w:rsidR="00D30A46" w:rsidRPr="006F665A">
        <w:rPr>
          <w:rFonts w:ascii="Arial" w:hAnsi="Arial" w:cs="Arial"/>
          <w:sz w:val="20"/>
          <w:szCs w:val="20"/>
          <w:lang w:val="es-MX"/>
        </w:rPr>
        <w:t>2026</w:t>
      </w:r>
      <w:r>
        <w:rPr>
          <w:rFonts w:ascii="Arial" w:hAnsi="Arial" w:cs="Arial"/>
          <w:sz w:val="20"/>
          <w:szCs w:val="20"/>
          <w:lang w:val="es-MX"/>
        </w:rPr>
        <w:t>)</w:t>
      </w:r>
      <w:r w:rsidR="00D30A46" w:rsidRPr="006F665A">
        <w:rPr>
          <w:rFonts w:ascii="Arial" w:hAnsi="Arial" w:cs="Arial"/>
          <w:sz w:val="20"/>
          <w:szCs w:val="20"/>
          <w:lang w:val="es-MX"/>
        </w:rPr>
        <w:t>.</w:t>
      </w:r>
    </w:p>
    <w:p w14:paraId="3E86A654" w14:textId="4B5A7EE4" w:rsidR="00D30A46" w:rsidRPr="00D30A46" w:rsidRDefault="00D30A46" w:rsidP="00D30A46">
      <w:pPr>
        <w:numPr>
          <w:ilvl w:val="0"/>
          <w:numId w:val="2"/>
        </w:numPr>
        <w:spacing w:after="240" w:line="276" w:lineRule="auto"/>
        <w:rPr>
          <w:rFonts w:ascii="Arial" w:hAnsi="Arial" w:cs="Arial"/>
          <w:b/>
          <w:bCs/>
          <w:sz w:val="20"/>
          <w:szCs w:val="20"/>
        </w:rPr>
      </w:pPr>
      <w:r w:rsidRPr="00D30A46">
        <w:rPr>
          <w:rFonts w:ascii="Arial" w:hAnsi="Arial" w:cs="Arial"/>
          <w:b/>
          <w:bCs/>
          <w:sz w:val="20"/>
          <w:szCs w:val="20"/>
        </w:rPr>
        <w:t>POES para superficies de trabajo</w:t>
      </w:r>
    </w:p>
    <w:p w14:paraId="4EA7C506" w14:textId="6F79BD62" w:rsidR="00D30A46" w:rsidRPr="006F665A" w:rsidRDefault="00D30A46" w:rsidP="00D30A46">
      <w:pPr>
        <w:spacing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Tabla </w:t>
      </w:r>
      <w:r>
        <w:rPr>
          <w:rFonts w:ascii="Arial" w:hAnsi="Arial" w:cs="Arial"/>
          <w:b/>
          <w:bCs/>
          <w:sz w:val="20"/>
          <w:szCs w:val="20"/>
          <w:lang w:val="es-MX"/>
        </w:rPr>
        <w:t>5</w:t>
      </w: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. </w:t>
      </w:r>
      <w:r>
        <w:rPr>
          <w:rFonts w:ascii="Arial" w:hAnsi="Arial" w:cs="Arial"/>
          <w:sz w:val="20"/>
          <w:szCs w:val="20"/>
          <w:lang w:val="es-MX"/>
        </w:rPr>
        <w:t>M</w:t>
      </w:r>
      <w:r w:rsidRPr="006F665A">
        <w:rPr>
          <w:rFonts w:ascii="Arial" w:hAnsi="Arial" w:cs="Arial"/>
          <w:sz w:val="20"/>
          <w:szCs w:val="20"/>
          <w:lang w:val="es-MX"/>
        </w:rPr>
        <w:t>esón de acero inoxidable</w:t>
      </w:r>
    </w:p>
    <w:tbl>
      <w:tblPr>
        <w:tblStyle w:val="Tablaconcuadrcula"/>
        <w:tblW w:w="4755" w:type="pct"/>
        <w:tblInd w:w="421" w:type="dxa"/>
        <w:tblLook w:val="04A0" w:firstRow="1" w:lastRow="0" w:firstColumn="1" w:lastColumn="0" w:noHBand="0" w:noVBand="1"/>
      </w:tblPr>
      <w:tblGrid>
        <w:gridCol w:w="2386"/>
        <w:gridCol w:w="6009"/>
      </w:tblGrid>
      <w:tr w:rsidR="00D30A46" w:rsidRPr="006F665A" w14:paraId="3AB3ED6D" w14:textId="77777777" w:rsidTr="0011125B">
        <w:tc>
          <w:tcPr>
            <w:tcW w:w="1421" w:type="pct"/>
            <w:shd w:val="clear" w:color="auto" w:fill="2C7FCE" w:themeFill="text2" w:themeFillTint="99"/>
            <w:hideMark/>
          </w:tcPr>
          <w:p w14:paraId="153E4F39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Elemento</w:t>
            </w:r>
          </w:p>
        </w:tc>
        <w:tc>
          <w:tcPr>
            <w:tcW w:w="3579" w:type="pct"/>
            <w:shd w:val="clear" w:color="auto" w:fill="2C7FCE" w:themeFill="text2" w:themeFillTint="99"/>
            <w:hideMark/>
          </w:tcPr>
          <w:p w14:paraId="12720198" w14:textId="77777777" w:rsidR="00D30A46" w:rsidRPr="006F665A" w:rsidRDefault="00D30A46" w:rsidP="00D30A4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D30A46" w:rsidRPr="006F665A" w14:paraId="585C5CE1" w14:textId="77777777" w:rsidTr="0011125B">
        <w:tc>
          <w:tcPr>
            <w:tcW w:w="1421" w:type="pct"/>
            <w:vAlign w:val="center"/>
            <w:hideMark/>
          </w:tcPr>
          <w:p w14:paraId="23A833D5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Frecuencia</w:t>
            </w:r>
          </w:p>
        </w:tc>
        <w:tc>
          <w:tcPr>
            <w:tcW w:w="3579" w:type="pct"/>
            <w:hideMark/>
          </w:tcPr>
          <w:p w14:paraId="06D945EE" w14:textId="302034A2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Después de cada producción y al final de la jornad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>a</w:t>
            </w:r>
          </w:p>
        </w:tc>
      </w:tr>
      <w:tr w:rsidR="00D30A46" w:rsidRPr="006F665A" w14:paraId="5B9F656B" w14:textId="77777777" w:rsidTr="0011125B">
        <w:tc>
          <w:tcPr>
            <w:tcW w:w="1421" w:type="pct"/>
            <w:vAlign w:val="center"/>
            <w:hideMark/>
          </w:tcPr>
          <w:p w14:paraId="6A63FE06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Procedimiento</w:t>
            </w:r>
          </w:p>
        </w:tc>
        <w:tc>
          <w:tcPr>
            <w:tcW w:w="3579" w:type="pct"/>
            <w:hideMark/>
          </w:tcPr>
          <w:p w14:paraId="191527AA" w14:textId="41EE101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1. Retirar residuos de masa con raspador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2. Aplicar detergente neutro con esponja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lastRenderedPageBreak/>
              <w:t>3. Frotar toda la superficie, incluyendo bordes y patas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4. Enjuagar con agua potable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5. Desinfectar con hipoclorito 100 ppm (rociar)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6. Dejar actuar 5 minutos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7. Enjuagar con agua potable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8. Secar con paño desechable</w:t>
            </w:r>
          </w:p>
        </w:tc>
      </w:tr>
    </w:tbl>
    <w:p w14:paraId="0D02B0B6" w14:textId="4B1B9F8E" w:rsidR="00D30A46" w:rsidRPr="006F665A" w:rsidRDefault="00097142" w:rsidP="00D30A46">
      <w:pPr>
        <w:spacing w:after="240" w:line="276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lastRenderedPageBreak/>
        <w:t xml:space="preserve">       </w:t>
      </w:r>
      <w:r w:rsidR="00D30A46" w:rsidRPr="006F665A">
        <w:rPr>
          <w:rFonts w:ascii="Arial" w:hAnsi="Arial" w:cs="Arial"/>
          <w:sz w:val="20"/>
          <w:szCs w:val="20"/>
          <w:lang w:val="es-MX"/>
        </w:rPr>
        <w:t xml:space="preserve">Nota. SENA, </w:t>
      </w:r>
      <w:r>
        <w:rPr>
          <w:rFonts w:ascii="Arial" w:hAnsi="Arial" w:cs="Arial"/>
          <w:sz w:val="20"/>
          <w:szCs w:val="20"/>
          <w:lang w:val="es-MX"/>
        </w:rPr>
        <w:t>(</w:t>
      </w:r>
      <w:r w:rsidR="00D30A46" w:rsidRPr="006F665A">
        <w:rPr>
          <w:rFonts w:ascii="Arial" w:hAnsi="Arial" w:cs="Arial"/>
          <w:sz w:val="20"/>
          <w:szCs w:val="20"/>
          <w:lang w:val="es-MX"/>
        </w:rPr>
        <w:t>2026</w:t>
      </w:r>
      <w:r>
        <w:rPr>
          <w:rFonts w:ascii="Arial" w:hAnsi="Arial" w:cs="Arial"/>
          <w:sz w:val="20"/>
          <w:szCs w:val="20"/>
          <w:lang w:val="es-MX"/>
        </w:rPr>
        <w:t>)</w:t>
      </w:r>
      <w:r w:rsidR="00D30A46" w:rsidRPr="006F665A">
        <w:rPr>
          <w:rFonts w:ascii="Arial" w:hAnsi="Arial" w:cs="Arial"/>
          <w:sz w:val="20"/>
          <w:szCs w:val="20"/>
          <w:lang w:val="es-MX"/>
        </w:rPr>
        <w:t>.</w:t>
      </w:r>
    </w:p>
    <w:p w14:paraId="3B41ECBE" w14:textId="2690638C" w:rsidR="00D30A46" w:rsidRPr="006F665A" w:rsidRDefault="00D30A46" w:rsidP="007526B6">
      <w:pPr>
        <w:spacing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6F665A">
        <w:rPr>
          <w:rFonts w:ascii="Arial" w:hAnsi="Arial" w:cs="Arial"/>
          <w:b/>
          <w:bCs/>
          <w:sz w:val="20"/>
          <w:szCs w:val="20"/>
          <w:lang w:val="es-MX"/>
        </w:rPr>
        <w:t xml:space="preserve">Tabla </w:t>
      </w:r>
      <w:r w:rsidR="007526B6">
        <w:rPr>
          <w:rFonts w:ascii="Arial" w:hAnsi="Arial" w:cs="Arial"/>
          <w:b/>
          <w:bCs/>
          <w:sz w:val="20"/>
          <w:szCs w:val="20"/>
          <w:lang w:val="es-MX"/>
        </w:rPr>
        <w:t>6</w:t>
      </w:r>
      <w:r w:rsidRPr="006F665A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7526B6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7526B6" w:rsidRPr="007526B6">
        <w:rPr>
          <w:rFonts w:ascii="Arial" w:hAnsi="Arial" w:cs="Arial"/>
          <w:sz w:val="20"/>
          <w:szCs w:val="20"/>
          <w:lang w:val="es-MX"/>
        </w:rPr>
        <w:t>P</w:t>
      </w:r>
      <w:r w:rsidRPr="007526B6">
        <w:rPr>
          <w:rFonts w:ascii="Arial" w:hAnsi="Arial" w:cs="Arial"/>
          <w:sz w:val="20"/>
          <w:szCs w:val="20"/>
          <w:lang w:val="es-MX"/>
        </w:rPr>
        <w:t>isos y desagües</w:t>
      </w:r>
    </w:p>
    <w:tbl>
      <w:tblPr>
        <w:tblStyle w:val="Tablaconcuadrcula"/>
        <w:tblW w:w="4755" w:type="pct"/>
        <w:tblInd w:w="421" w:type="dxa"/>
        <w:tblLook w:val="04A0" w:firstRow="1" w:lastRow="0" w:firstColumn="1" w:lastColumn="0" w:noHBand="0" w:noVBand="1"/>
      </w:tblPr>
      <w:tblGrid>
        <w:gridCol w:w="2386"/>
        <w:gridCol w:w="6009"/>
      </w:tblGrid>
      <w:tr w:rsidR="00D30A46" w:rsidRPr="006F665A" w14:paraId="2FC2B429" w14:textId="77777777" w:rsidTr="0011125B">
        <w:tc>
          <w:tcPr>
            <w:tcW w:w="1421" w:type="pct"/>
            <w:shd w:val="clear" w:color="auto" w:fill="2C7FCE" w:themeFill="text2" w:themeFillTint="99"/>
            <w:hideMark/>
          </w:tcPr>
          <w:p w14:paraId="6B23F875" w14:textId="77777777" w:rsidR="00D30A46" w:rsidRPr="006F665A" w:rsidRDefault="00D30A46" w:rsidP="007526B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Elemento</w:t>
            </w:r>
          </w:p>
        </w:tc>
        <w:tc>
          <w:tcPr>
            <w:tcW w:w="3579" w:type="pct"/>
            <w:shd w:val="clear" w:color="auto" w:fill="2C7FCE" w:themeFill="text2" w:themeFillTint="99"/>
            <w:hideMark/>
          </w:tcPr>
          <w:p w14:paraId="5DFF8CA0" w14:textId="77777777" w:rsidR="00D30A46" w:rsidRPr="006F665A" w:rsidRDefault="00D30A46" w:rsidP="007526B6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D30A46" w:rsidRPr="006F665A" w14:paraId="33BA2EC8" w14:textId="77777777" w:rsidTr="0011125B">
        <w:tc>
          <w:tcPr>
            <w:tcW w:w="1421" w:type="pct"/>
            <w:hideMark/>
          </w:tcPr>
          <w:p w14:paraId="5B866129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Frecuencia</w:t>
            </w:r>
          </w:p>
        </w:tc>
        <w:tc>
          <w:tcPr>
            <w:tcW w:w="3579" w:type="pct"/>
            <w:hideMark/>
          </w:tcPr>
          <w:p w14:paraId="4D4A3AAF" w14:textId="39E61F36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Diario (al final de la jornada) y después de derrames importantes</w:t>
            </w:r>
          </w:p>
        </w:tc>
      </w:tr>
      <w:tr w:rsidR="00D30A46" w:rsidRPr="006F665A" w14:paraId="30ABF004" w14:textId="77777777" w:rsidTr="0011125B">
        <w:tc>
          <w:tcPr>
            <w:tcW w:w="1421" w:type="pct"/>
            <w:hideMark/>
          </w:tcPr>
          <w:p w14:paraId="08A17505" w14:textId="77777777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Procedimiento</w:t>
            </w:r>
          </w:p>
        </w:tc>
        <w:tc>
          <w:tcPr>
            <w:tcW w:w="3579" w:type="pct"/>
            <w:hideMark/>
          </w:tcPr>
          <w:p w14:paraId="3512E36F" w14:textId="2840867B" w:rsidR="00D30A46" w:rsidRPr="006F665A" w:rsidRDefault="00D30A46" w:rsidP="0011125B">
            <w:pPr>
              <w:spacing w:after="240"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t>1. Barrer en seco para recoger residuos sólidos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2. Lavar con detergente alcalino y cepillo de cerdas duras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3. Enjuagar con agua a presión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4. Desinfectar con hipoclorito 200 ppm (rociar o balde). Dejar actuar 10 minutos</w:t>
            </w:r>
            <w:r w:rsidRPr="006F665A">
              <w:rPr>
                <w:rFonts w:ascii="Arial" w:hAnsi="Arial" w:cs="Arial"/>
                <w:sz w:val="20"/>
                <w:szCs w:val="20"/>
                <w:lang w:val="es-MX"/>
              </w:rPr>
              <w:br/>
              <w:t>5. No enjuagar (el cloro residual ayuda a controlar microorganismos en drenajes)</w:t>
            </w:r>
          </w:p>
        </w:tc>
      </w:tr>
    </w:tbl>
    <w:p w14:paraId="003AD9B6" w14:textId="0BA5FBF6" w:rsidR="000955FC" w:rsidRDefault="000971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7526B6" w:rsidRPr="007526B6">
        <w:rPr>
          <w:rFonts w:ascii="Arial" w:hAnsi="Arial" w:cs="Arial"/>
          <w:sz w:val="20"/>
          <w:szCs w:val="20"/>
        </w:rPr>
        <w:t>Nota. SENA, (2026).</w:t>
      </w:r>
    </w:p>
    <w:p w14:paraId="053AB9ED" w14:textId="77777777" w:rsidR="007526B6" w:rsidRDefault="007526B6">
      <w:pPr>
        <w:rPr>
          <w:rFonts w:ascii="Arial" w:hAnsi="Arial" w:cs="Arial"/>
          <w:sz w:val="20"/>
          <w:szCs w:val="20"/>
        </w:rPr>
      </w:pPr>
    </w:p>
    <w:p w14:paraId="25808A25" w14:textId="77777777" w:rsidR="007526B6" w:rsidRPr="007526B6" w:rsidRDefault="007526B6" w:rsidP="007526B6">
      <w:pPr>
        <w:spacing w:after="240" w:line="276" w:lineRule="auto"/>
        <w:ind w:left="426"/>
        <w:rPr>
          <w:rFonts w:ascii="Arial" w:hAnsi="Arial" w:cs="Arial"/>
          <w:sz w:val="20"/>
          <w:szCs w:val="20"/>
          <w:lang w:val="es-MX"/>
        </w:rPr>
      </w:pPr>
      <w:r w:rsidRPr="007526B6">
        <w:rPr>
          <w:rFonts w:ascii="Arial" w:hAnsi="Arial" w:cs="Arial"/>
          <w:sz w:val="20"/>
          <w:szCs w:val="20"/>
          <w:lang w:val="es-MX"/>
        </w:rPr>
        <w:t>Los modelos de POES incluidos en este anexo sirven como referencia para diseñar e implementar procedimientos de saneamiento acordes con las necesidades de cada establecimiento. Su aplicación sistemática favorece la organización de las actividades de limpieza y desinfección, fortalece la cultura de la inocuidad y contribuye a la producción de panes con masa madre en condiciones seguras y de calidad.</w:t>
      </w:r>
    </w:p>
    <w:p w14:paraId="1F814096" w14:textId="77777777" w:rsidR="007526B6" w:rsidRPr="007526B6" w:rsidRDefault="007526B6" w:rsidP="007526B6">
      <w:pPr>
        <w:spacing w:line="276" w:lineRule="auto"/>
        <w:rPr>
          <w:rFonts w:ascii="Arial" w:hAnsi="Arial" w:cs="Arial"/>
          <w:sz w:val="20"/>
          <w:szCs w:val="20"/>
        </w:rPr>
      </w:pPr>
    </w:p>
    <w:sectPr w:rsidR="007526B6" w:rsidRPr="007526B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954291" w14:textId="77777777" w:rsidR="00EF7CB3" w:rsidRDefault="00EF7CB3" w:rsidP="00D30A46">
      <w:r>
        <w:separator/>
      </w:r>
    </w:p>
  </w:endnote>
  <w:endnote w:type="continuationSeparator" w:id="0">
    <w:p w14:paraId="7528D468" w14:textId="77777777" w:rsidR="00EF7CB3" w:rsidRDefault="00EF7CB3" w:rsidP="00D30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8EC014" w14:textId="77777777" w:rsidR="00EF7CB3" w:rsidRDefault="00EF7CB3" w:rsidP="00D30A46">
      <w:r>
        <w:separator/>
      </w:r>
    </w:p>
  </w:footnote>
  <w:footnote w:type="continuationSeparator" w:id="0">
    <w:p w14:paraId="7A485039" w14:textId="77777777" w:rsidR="00EF7CB3" w:rsidRDefault="00EF7CB3" w:rsidP="00D30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08F1F4" w14:textId="556EB84A" w:rsidR="00D30A46" w:rsidRDefault="00D30A46" w:rsidP="00D30A46">
    <w:pPr>
      <w:pStyle w:val="Encabezado"/>
      <w:jc w:val="center"/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13A0DED4" wp14:editId="251D3C0D">
          <wp:simplePos x="0" y="0"/>
          <wp:positionH relativeFrom="column">
            <wp:posOffset>2247900</wp:posOffset>
          </wp:positionH>
          <wp:positionV relativeFrom="paragraph">
            <wp:posOffset>17972</wp:posOffset>
          </wp:positionV>
          <wp:extent cx="751840" cy="711835"/>
          <wp:effectExtent l="0" t="0" r="0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840" cy="711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66654D"/>
    <w:multiLevelType w:val="multilevel"/>
    <w:tmpl w:val="D6D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01FBE"/>
    <w:multiLevelType w:val="multilevel"/>
    <w:tmpl w:val="ECF04C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4865164">
    <w:abstractNumId w:val="1"/>
  </w:num>
  <w:num w:numId="2" w16cid:durableId="1138363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6"/>
    <w:rsid w:val="000955FC"/>
    <w:rsid w:val="00097142"/>
    <w:rsid w:val="00684C7A"/>
    <w:rsid w:val="007526B6"/>
    <w:rsid w:val="00834B24"/>
    <w:rsid w:val="008E5C4E"/>
    <w:rsid w:val="00D30A46"/>
    <w:rsid w:val="00EF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E42E"/>
  <w15:chartTrackingRefBased/>
  <w15:docId w15:val="{ABD3CEC3-D7A0-3046-B634-F7E1B77D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46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A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A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A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A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gura">
    <w:name w:val="Figura"/>
    <w:basedOn w:val="Normal"/>
    <w:next w:val="Normal"/>
    <w:link w:val="FiguraCar"/>
    <w:autoRedefine/>
    <w:qFormat/>
    <w:rsid w:val="000955FC"/>
    <w:pPr>
      <w:tabs>
        <w:tab w:val="left" w:pos="1134"/>
      </w:tabs>
      <w:spacing w:before="160" w:after="120" w:line="360" w:lineRule="auto"/>
      <w:ind w:left="1712"/>
      <w:jc w:val="center"/>
    </w:pPr>
    <w:rPr>
      <w:rFonts w:ascii="Calibri" w:hAnsi="Calibri" w:cs="Times New Roman (Cuerpo en alfa"/>
      <w:b/>
      <w:bCs/>
      <w:color w:val="000000" w:themeColor="text1"/>
      <w:sz w:val="28"/>
      <w:bdr w:val="none" w:sz="0" w:space="0" w:color="auto" w:frame="1"/>
      <w:shd w:val="clear" w:color="auto" w:fill="FFFFFF"/>
      <w:lang w:val="es-419" w:eastAsia="es-CO"/>
    </w:rPr>
  </w:style>
  <w:style w:type="character" w:customStyle="1" w:styleId="FiguraCar">
    <w:name w:val="Figura Car"/>
    <w:basedOn w:val="Fuentedeprrafopredeter"/>
    <w:link w:val="Figura"/>
    <w:rsid w:val="000955FC"/>
    <w:rPr>
      <w:rFonts w:ascii="Calibri" w:hAnsi="Calibri" w:cs="Times New Roman (Cuerpo en alfa"/>
      <w:b/>
      <w:bCs/>
      <w:color w:val="000000" w:themeColor="text1"/>
      <w:kern w:val="0"/>
      <w:sz w:val="28"/>
      <w:bdr w:val="none" w:sz="0" w:space="0" w:color="auto" w:frame="1"/>
      <w:lang w:val="es-419"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30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A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A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A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A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A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A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A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0A4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0A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A46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0A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A46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1">
    <w:name w:val="p1"/>
    <w:basedOn w:val="Normal"/>
    <w:rsid w:val="00D30A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08EF1C6A-A40F-44F6-9B4C-E016FE71BCC6}"/>
</file>

<file path=customXml/itemProps2.xml><?xml version="1.0" encoding="utf-8"?>
<ds:datastoreItem xmlns:ds="http://schemas.openxmlformats.org/officeDocument/2006/customXml" ds:itemID="{7999BC41-D425-40E5-9BA7-4E6C29543A95}"/>
</file>

<file path=customXml/itemProps3.xml><?xml version="1.0" encoding="utf-8"?>
<ds:datastoreItem xmlns:ds="http://schemas.openxmlformats.org/officeDocument/2006/customXml" ds:itemID="{5382835B-C963-4640-9C27-25B563D54B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658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Morales Angulo</dc:creator>
  <cp:keywords/>
  <dc:description/>
  <cp:lastModifiedBy>Maria Fernanda Morales Angulo</cp:lastModifiedBy>
  <cp:revision>4</cp:revision>
  <cp:lastPrinted>2026-07-22T02:32:00Z</cp:lastPrinted>
  <dcterms:created xsi:type="dcterms:W3CDTF">2026-07-22T02:32:00Z</dcterms:created>
  <dcterms:modified xsi:type="dcterms:W3CDTF">2026-07-22T02:34:00Z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2026-07-22T02:32:25Z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423e0e22-9364-4ce3-9179-7cf62d261a9a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