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5C3A6" w14:textId="71DE79FB" w:rsidR="0083224F" w:rsidRPr="001757AE" w:rsidRDefault="001757AE" w:rsidP="001757AE">
      <w:pPr>
        <w:jc w:val="center"/>
        <w:rPr>
          <w:rFonts w:ascii="Arial" w:hAnsi="Arial" w:cs="Arial"/>
          <w:b/>
          <w:bCs/>
          <w:sz w:val="20"/>
          <w:szCs w:val="20"/>
        </w:rPr>
      </w:pPr>
      <w:r w:rsidRPr="00C568A9">
        <w:rPr>
          <w:rFonts w:ascii="Arial" w:hAnsi="Arial" w:cs="Arial"/>
          <w:b/>
          <w:bCs/>
          <w:sz w:val="20"/>
          <w:szCs w:val="20"/>
        </w:rPr>
        <w:t xml:space="preserve">Control logístico en el </w:t>
      </w:r>
      <w:r w:rsidRPr="00C568A9">
        <w:rPr>
          <w:rFonts w:ascii="Arial" w:hAnsi="Arial" w:cs="Arial"/>
          <w:b/>
          <w:bCs/>
          <w:i/>
          <w:iCs/>
          <w:sz w:val="20"/>
          <w:szCs w:val="20"/>
        </w:rPr>
        <w:t>e-commerce</w:t>
      </w:r>
      <w:r w:rsidRPr="00C568A9">
        <w:rPr>
          <w:rFonts w:ascii="Arial" w:hAnsi="Arial" w:cs="Arial"/>
          <w:b/>
          <w:bCs/>
          <w:sz w:val="20"/>
          <w:szCs w:val="20"/>
        </w:rPr>
        <w:t>: eficiencia, trazabilidad y KPI</w:t>
      </w:r>
    </w:p>
    <w:p w14:paraId="2FBC9B8A" w14:textId="43DA4397" w:rsidR="001757AE" w:rsidRPr="00C568A9" w:rsidRDefault="001757AE" w:rsidP="001757AE">
      <w:pPr>
        <w:jc w:val="both"/>
        <w:rPr>
          <w:rFonts w:ascii="Arial" w:hAnsi="Arial" w:cs="Arial"/>
          <w:sz w:val="20"/>
          <w:szCs w:val="20"/>
        </w:rPr>
      </w:pPr>
      <w:r w:rsidRPr="00C568A9">
        <w:rPr>
          <w:rFonts w:ascii="Arial" w:hAnsi="Arial" w:cs="Arial"/>
          <w:sz w:val="20"/>
          <w:szCs w:val="20"/>
        </w:rPr>
        <w:t xml:space="preserve">El crecimiento del </w:t>
      </w:r>
      <w:r w:rsidRPr="00C568A9">
        <w:rPr>
          <w:rFonts w:ascii="Arial" w:hAnsi="Arial" w:cs="Arial"/>
          <w:i/>
          <w:iCs/>
          <w:sz w:val="20"/>
          <w:szCs w:val="20"/>
        </w:rPr>
        <w:t>e-commerce</w:t>
      </w:r>
      <w:r w:rsidRPr="00C568A9">
        <w:rPr>
          <w:rFonts w:ascii="Arial" w:hAnsi="Arial" w:cs="Arial"/>
          <w:sz w:val="20"/>
          <w:szCs w:val="20"/>
        </w:rPr>
        <w:t xml:space="preserve"> ha generado cambios significativos en la forma en que las organizaciones administran sus operaciones logísticas. Actualmente, las empresas no solo deben comercializar productos mediante plataformas digitales, sino también garantizar procesos eficientes de almacenamiento, distribución y seguimiento de pedidos. En este contexto, la planeación y el control logístico se convierten en herramientas estratégicas para fortalecer la competitividad y responder a las exigencias del consumidor digital.</w:t>
      </w:r>
    </w:p>
    <w:p w14:paraId="71A7B9BF" w14:textId="77777777" w:rsidR="001757AE" w:rsidRPr="00C568A9" w:rsidRDefault="001757AE" w:rsidP="001757AE">
      <w:pPr>
        <w:jc w:val="both"/>
        <w:rPr>
          <w:rFonts w:ascii="Arial" w:hAnsi="Arial" w:cs="Arial"/>
          <w:sz w:val="20"/>
          <w:szCs w:val="20"/>
        </w:rPr>
      </w:pPr>
      <w:r w:rsidRPr="00C568A9">
        <w:rPr>
          <w:rFonts w:ascii="Arial" w:hAnsi="Arial" w:cs="Arial"/>
          <w:sz w:val="20"/>
          <w:szCs w:val="20"/>
        </w:rPr>
        <w:t xml:space="preserve">Uno de los principales retos en las operaciones de </w:t>
      </w:r>
      <w:r w:rsidRPr="00C568A9">
        <w:rPr>
          <w:rFonts w:ascii="Arial" w:hAnsi="Arial" w:cs="Arial"/>
          <w:i/>
          <w:iCs/>
          <w:sz w:val="20"/>
          <w:szCs w:val="20"/>
        </w:rPr>
        <w:t>e-commerce</w:t>
      </w:r>
      <w:r w:rsidRPr="00C568A9">
        <w:rPr>
          <w:rFonts w:ascii="Arial" w:hAnsi="Arial" w:cs="Arial"/>
          <w:sz w:val="20"/>
          <w:szCs w:val="20"/>
        </w:rPr>
        <w:t xml:space="preserve"> se relaciona con la capacidad de las organizaciones para mantener control sobre inventarios, tiempos de entrega y trazabilidad de productos. Muchas empresas presentan dificultades debido a la falta de planeación logística, generando retrasos, devoluciones y afectaciones en la experiencia del cliente. Por esta razón, resulta indispensable implementar instrumentos de diagnóstico que permitan analizar el estado de los procesos logísticos e identificar oportunidades de mejora.</w:t>
      </w:r>
    </w:p>
    <w:p w14:paraId="4A8DD291" w14:textId="77777777" w:rsidR="001757AE" w:rsidRPr="00C568A9" w:rsidRDefault="001757AE" w:rsidP="001757AE">
      <w:pPr>
        <w:jc w:val="both"/>
        <w:rPr>
          <w:rFonts w:ascii="Arial" w:hAnsi="Arial" w:cs="Arial"/>
          <w:sz w:val="20"/>
          <w:szCs w:val="20"/>
        </w:rPr>
      </w:pPr>
      <w:r w:rsidRPr="00C568A9">
        <w:rPr>
          <w:rFonts w:ascii="Arial" w:hAnsi="Arial" w:cs="Arial"/>
          <w:sz w:val="20"/>
          <w:szCs w:val="20"/>
        </w:rPr>
        <w:t xml:space="preserve">Los instrumentos de diagnóstico facilitan evaluar el desempeño operativo mediante listas de verificación, análisis DOFA, diagramas de flujo e indicadores de gestión. Estas herramientas permiten detectar fallas relacionadas con almacenamiento, transporte y distribución. Empresas como </w:t>
      </w:r>
      <w:r w:rsidRPr="00C568A9">
        <w:rPr>
          <w:rFonts w:ascii="Arial" w:hAnsi="Arial" w:cs="Arial"/>
          <w:b/>
          <w:bCs/>
          <w:sz w:val="20"/>
          <w:szCs w:val="20"/>
        </w:rPr>
        <w:t>Mercado Libre</w:t>
      </w:r>
      <w:r w:rsidRPr="00C568A9">
        <w:rPr>
          <w:rFonts w:ascii="Arial" w:hAnsi="Arial" w:cs="Arial"/>
          <w:sz w:val="20"/>
          <w:szCs w:val="20"/>
        </w:rPr>
        <w:t xml:space="preserve"> utilizan sistemas de monitoreo permanente para controlar inventarios y garantizar disponibilidad de productos en sus centros de distribución.</w:t>
      </w:r>
    </w:p>
    <w:p w14:paraId="3DD3DA05" w14:textId="77777777" w:rsidR="001757AE" w:rsidRPr="00C568A9" w:rsidRDefault="001757AE" w:rsidP="001757AE">
      <w:pPr>
        <w:jc w:val="both"/>
        <w:rPr>
          <w:rFonts w:ascii="Arial" w:hAnsi="Arial" w:cs="Arial"/>
          <w:sz w:val="20"/>
          <w:szCs w:val="20"/>
        </w:rPr>
      </w:pPr>
      <w:r w:rsidRPr="00C568A9">
        <w:rPr>
          <w:rFonts w:ascii="Arial" w:hAnsi="Arial" w:cs="Arial"/>
          <w:sz w:val="20"/>
          <w:szCs w:val="20"/>
        </w:rPr>
        <w:t>La planeación logística representa otro elemento fundamental dentro de las operaciones digitales. Las organizaciones deben organizar recursos, definir rutas de distribución y proyectar tiempos de entrega para responder eficientemente a la demanda. Una adecuada planeación permite optimizar costos operativos y fortalecer la continuidad de la cadena de suministro.</w:t>
      </w:r>
    </w:p>
    <w:p w14:paraId="035FC763" w14:textId="77777777" w:rsidR="001757AE" w:rsidRPr="00C568A9" w:rsidRDefault="001757AE" w:rsidP="001757AE">
      <w:pPr>
        <w:jc w:val="both"/>
        <w:rPr>
          <w:rFonts w:ascii="Arial" w:hAnsi="Arial" w:cs="Arial"/>
          <w:sz w:val="20"/>
          <w:szCs w:val="20"/>
        </w:rPr>
      </w:pPr>
      <w:r w:rsidRPr="00C568A9">
        <w:rPr>
          <w:rFonts w:ascii="Arial" w:hAnsi="Arial" w:cs="Arial"/>
          <w:sz w:val="20"/>
          <w:szCs w:val="20"/>
        </w:rPr>
        <w:t>En los nuevos emprendimientos, la falta de planeación suele generar problemas de organización y control de pedidos. Muchos emprendedores inician operaciones digitales sin definir procesos logísticos claros, afectando tiempos de respuesta y satisfacción del cliente. Por el contrario, las empresas consolidadas desarrollan estrategias logísticas orientadas al análisis de datos, automatización y control operativo.</w:t>
      </w:r>
    </w:p>
    <w:p w14:paraId="0C70E514" w14:textId="7C34950B" w:rsidR="001757AE" w:rsidRPr="00C568A9" w:rsidRDefault="001757AE" w:rsidP="001757AE">
      <w:pPr>
        <w:jc w:val="both"/>
        <w:rPr>
          <w:rFonts w:ascii="Arial" w:hAnsi="Arial" w:cs="Arial"/>
          <w:sz w:val="20"/>
          <w:szCs w:val="20"/>
        </w:rPr>
      </w:pPr>
      <w:r w:rsidRPr="00C568A9">
        <w:rPr>
          <w:rFonts w:ascii="Arial" w:hAnsi="Arial" w:cs="Arial"/>
          <w:sz w:val="20"/>
          <w:szCs w:val="20"/>
        </w:rPr>
        <w:t xml:space="preserve">Dentro de la planeación logística, los indicadores </w:t>
      </w:r>
      <w:r w:rsidRPr="00C568A9">
        <w:rPr>
          <w:rFonts w:ascii="Arial" w:hAnsi="Arial" w:cs="Arial"/>
          <w:i/>
          <w:iCs/>
          <w:sz w:val="20"/>
          <w:szCs w:val="20"/>
        </w:rPr>
        <w:t xml:space="preserve">Key </w:t>
      </w:r>
      <w:r w:rsidR="005B06AC">
        <w:rPr>
          <w:rFonts w:ascii="Arial" w:hAnsi="Arial" w:cs="Arial"/>
          <w:i/>
          <w:iCs/>
          <w:sz w:val="20"/>
          <w:szCs w:val="20"/>
        </w:rPr>
        <w:t>p</w:t>
      </w:r>
      <w:r w:rsidRPr="00C568A9">
        <w:rPr>
          <w:rFonts w:ascii="Arial" w:hAnsi="Arial" w:cs="Arial"/>
          <w:i/>
          <w:iCs/>
          <w:sz w:val="20"/>
          <w:szCs w:val="20"/>
        </w:rPr>
        <w:t xml:space="preserve">erformance </w:t>
      </w:r>
      <w:proofErr w:type="spellStart"/>
      <w:r w:rsidR="005B06AC">
        <w:rPr>
          <w:rFonts w:ascii="Arial" w:hAnsi="Arial" w:cs="Arial"/>
          <w:i/>
          <w:iCs/>
          <w:sz w:val="20"/>
          <w:szCs w:val="20"/>
        </w:rPr>
        <w:t>i</w:t>
      </w:r>
      <w:r w:rsidRPr="00C568A9">
        <w:rPr>
          <w:rFonts w:ascii="Arial" w:hAnsi="Arial" w:cs="Arial"/>
          <w:i/>
          <w:iCs/>
          <w:sz w:val="20"/>
          <w:szCs w:val="20"/>
        </w:rPr>
        <w:t>ndicator</w:t>
      </w:r>
      <w:proofErr w:type="spellEnd"/>
      <w:r w:rsidRPr="00C568A9">
        <w:rPr>
          <w:rFonts w:ascii="Arial" w:hAnsi="Arial" w:cs="Arial"/>
          <w:sz w:val="20"/>
          <w:szCs w:val="20"/>
        </w:rPr>
        <w:t xml:space="preserve"> (KPI) cumplen una función esencial. Estos indicadores permiten medir desempeño y evaluar resultados en áreas como tiempos de entrega, nivel de cumplimiento, rotación de inventarios y devoluciones. El análisis de KPI facilita la toma de decisiones y contribuye a mejorar eficiencia en los procesos logísticos.</w:t>
      </w:r>
    </w:p>
    <w:p w14:paraId="6210E803" w14:textId="77777777" w:rsidR="001757AE" w:rsidRPr="00C568A9" w:rsidRDefault="001757AE" w:rsidP="001757AE">
      <w:pPr>
        <w:jc w:val="both"/>
        <w:rPr>
          <w:rFonts w:ascii="Arial" w:hAnsi="Arial" w:cs="Arial"/>
          <w:sz w:val="20"/>
          <w:szCs w:val="20"/>
        </w:rPr>
      </w:pPr>
      <w:r w:rsidRPr="00C568A9">
        <w:rPr>
          <w:rFonts w:ascii="Arial" w:hAnsi="Arial" w:cs="Arial"/>
          <w:sz w:val="20"/>
          <w:szCs w:val="20"/>
        </w:rPr>
        <w:t xml:space="preserve">Grandes empresas como </w:t>
      </w:r>
      <w:r w:rsidRPr="00C568A9">
        <w:rPr>
          <w:rFonts w:ascii="Arial" w:hAnsi="Arial" w:cs="Arial"/>
          <w:b/>
          <w:bCs/>
          <w:sz w:val="20"/>
          <w:szCs w:val="20"/>
        </w:rPr>
        <w:t>Amazon</w:t>
      </w:r>
      <w:r w:rsidRPr="00C568A9">
        <w:rPr>
          <w:rFonts w:ascii="Arial" w:hAnsi="Arial" w:cs="Arial"/>
          <w:sz w:val="20"/>
          <w:szCs w:val="20"/>
        </w:rPr>
        <w:t xml:space="preserve"> utilizan sistemas avanzados de indicadores para monitorear productividad y desempeño en tiempo real. La capacidad de medir operaciones logísticas permite identificar fallas rápidamente y establecer acciones correctivas que reduzcan costos y mejoren el servicio al cliente.</w:t>
      </w:r>
    </w:p>
    <w:p w14:paraId="3DA19A53" w14:textId="77777777" w:rsidR="001757AE" w:rsidRPr="00C568A9" w:rsidRDefault="001757AE" w:rsidP="001757AE">
      <w:pPr>
        <w:jc w:val="both"/>
        <w:rPr>
          <w:rFonts w:ascii="Arial" w:hAnsi="Arial" w:cs="Arial"/>
          <w:sz w:val="20"/>
          <w:szCs w:val="20"/>
        </w:rPr>
      </w:pPr>
      <w:r w:rsidRPr="00C568A9">
        <w:rPr>
          <w:rFonts w:ascii="Arial" w:hAnsi="Arial" w:cs="Arial"/>
          <w:sz w:val="20"/>
          <w:szCs w:val="20"/>
        </w:rPr>
        <w:t>Otro aspecto fundamental corresponde a la trazabilidad y gestión de la información. La trazabilidad permite realizar seguimiento a los productos desde el almacenamiento hasta la entrega final al consumidor. Este proceso fortalece el control operativo y genera mayor confianza en las operaciones comerciales digitales.</w:t>
      </w:r>
    </w:p>
    <w:p w14:paraId="7BAA36D1" w14:textId="77777777" w:rsidR="001757AE" w:rsidRPr="00C568A9" w:rsidRDefault="001757AE" w:rsidP="001757AE">
      <w:pPr>
        <w:jc w:val="both"/>
        <w:rPr>
          <w:rFonts w:ascii="Arial" w:hAnsi="Arial" w:cs="Arial"/>
          <w:sz w:val="20"/>
          <w:szCs w:val="20"/>
        </w:rPr>
      </w:pPr>
      <w:r w:rsidRPr="00C568A9">
        <w:rPr>
          <w:rFonts w:ascii="Arial" w:hAnsi="Arial" w:cs="Arial"/>
          <w:sz w:val="20"/>
          <w:szCs w:val="20"/>
        </w:rPr>
        <w:t>Actualmente, los consumidores exigen información inmediata sobre el estado de sus pedidos. Por esta razón, las empresas implementan plataformas tecnológicas, códigos de barras y sistemas de rastreo que permiten monitorear entregas en tiempo real. La adecuada gestión de la información facilita coordinación entre áreas comerciales, logísticas y de servicio al cliente.</w:t>
      </w:r>
    </w:p>
    <w:p w14:paraId="34B570FE" w14:textId="275FDB4A" w:rsidR="001757AE" w:rsidRPr="001757AE" w:rsidRDefault="001757AE" w:rsidP="001757AE">
      <w:pPr>
        <w:jc w:val="both"/>
        <w:rPr>
          <w:rFonts w:ascii="Arial" w:hAnsi="Arial" w:cs="Arial"/>
          <w:sz w:val="20"/>
          <w:szCs w:val="20"/>
        </w:rPr>
      </w:pPr>
      <w:r w:rsidRPr="00C568A9">
        <w:rPr>
          <w:rFonts w:ascii="Arial" w:hAnsi="Arial" w:cs="Arial"/>
          <w:sz w:val="20"/>
          <w:szCs w:val="20"/>
        </w:rPr>
        <w:lastRenderedPageBreak/>
        <w:t xml:space="preserve">En conclusión, la planeación y control logístico representan elementos estratégicos dentro del </w:t>
      </w:r>
      <w:r w:rsidRPr="00C568A9">
        <w:rPr>
          <w:rFonts w:ascii="Arial" w:hAnsi="Arial" w:cs="Arial"/>
          <w:i/>
          <w:iCs/>
          <w:sz w:val="20"/>
          <w:szCs w:val="20"/>
        </w:rPr>
        <w:t>e-commerce</w:t>
      </w:r>
      <w:r w:rsidRPr="00C568A9">
        <w:rPr>
          <w:rFonts w:ascii="Arial" w:hAnsi="Arial" w:cs="Arial"/>
          <w:sz w:val="20"/>
          <w:szCs w:val="20"/>
        </w:rPr>
        <w:t>. La implementación de instrumentos de diagnóstico, indicadores KPI y sistemas de trazabilidad permite fortalecer eficiencia operativa y competitividad empresarial. Tanto nuevos emprendedores como empresas consolidadas y grandes organizaciones deben comprender que el éxito del comercio electrónico depende de la capacidad para gestionar información, controlar procesos y responder eficientemente a las dinámicas del mercado digital.</w:t>
      </w:r>
    </w:p>
    <w:p w14:paraId="0EE38DA4" w14:textId="77777777" w:rsidR="001757AE" w:rsidRDefault="001757AE">
      <w:pPr>
        <w:spacing w:line="276" w:lineRule="auto"/>
        <w:jc w:val="both"/>
        <w:rPr>
          <w:rFonts w:ascii="Arial" w:eastAsia="Arial" w:hAnsi="Arial" w:cs="Arial"/>
          <w:b/>
          <w:bCs/>
          <w:sz w:val="20"/>
          <w:szCs w:val="20"/>
        </w:rPr>
      </w:pPr>
    </w:p>
    <w:p w14:paraId="52B6AD42" w14:textId="236C5AC9" w:rsidR="0083224F" w:rsidRDefault="003830FA">
      <w:pPr>
        <w:spacing w:line="276" w:lineRule="auto"/>
        <w:jc w:val="both"/>
        <w:rPr>
          <w:rFonts w:ascii="Arial" w:eastAsia="Arial" w:hAnsi="Arial" w:cs="Arial"/>
          <w:b/>
          <w:bCs/>
          <w:sz w:val="20"/>
          <w:szCs w:val="20"/>
        </w:rPr>
      </w:pPr>
      <w:r>
        <w:rPr>
          <w:rFonts w:ascii="Arial" w:eastAsia="Arial" w:hAnsi="Arial" w:cs="Arial"/>
          <w:b/>
          <w:bCs/>
          <w:sz w:val="20"/>
          <w:szCs w:val="20"/>
        </w:rPr>
        <w:t>Referencias bibliográficas</w:t>
      </w:r>
    </w:p>
    <w:p w14:paraId="0958C52B" w14:textId="77777777" w:rsidR="001757AE" w:rsidRPr="00C568A9" w:rsidRDefault="001757AE" w:rsidP="001757AE">
      <w:pPr>
        <w:jc w:val="both"/>
        <w:rPr>
          <w:rFonts w:ascii="Arial" w:hAnsi="Arial" w:cs="Arial"/>
          <w:sz w:val="20"/>
          <w:szCs w:val="20"/>
        </w:rPr>
      </w:pPr>
      <w:r w:rsidRPr="00C568A9">
        <w:rPr>
          <w:rFonts w:ascii="Arial" w:hAnsi="Arial" w:cs="Arial"/>
          <w:sz w:val="20"/>
          <w:szCs w:val="20"/>
        </w:rPr>
        <w:t xml:space="preserve">Chopra, S., &amp; Meindl, P. (2008). </w:t>
      </w:r>
      <w:r w:rsidRPr="00C568A9">
        <w:rPr>
          <w:rFonts w:ascii="Arial" w:hAnsi="Arial" w:cs="Arial"/>
          <w:i/>
          <w:iCs/>
          <w:sz w:val="20"/>
          <w:szCs w:val="20"/>
        </w:rPr>
        <w:t>Administración de la cadena de suministro: estrategia, planeación y operación</w:t>
      </w:r>
      <w:r w:rsidRPr="00C568A9">
        <w:rPr>
          <w:rFonts w:ascii="Arial" w:hAnsi="Arial" w:cs="Arial"/>
          <w:sz w:val="20"/>
          <w:szCs w:val="20"/>
        </w:rPr>
        <w:t xml:space="preserve"> (3.ª ed.). Pearson Educación.</w:t>
      </w:r>
    </w:p>
    <w:p w14:paraId="2D90BB7E" w14:textId="77777777" w:rsidR="001757AE" w:rsidRPr="00C568A9" w:rsidRDefault="001757AE" w:rsidP="001757AE">
      <w:pPr>
        <w:jc w:val="both"/>
        <w:rPr>
          <w:rFonts w:ascii="Arial" w:hAnsi="Arial" w:cs="Arial"/>
          <w:sz w:val="20"/>
          <w:szCs w:val="20"/>
        </w:rPr>
      </w:pPr>
      <w:r w:rsidRPr="00C568A9">
        <w:rPr>
          <w:rFonts w:ascii="Arial" w:hAnsi="Arial" w:cs="Arial"/>
          <w:sz w:val="20"/>
          <w:szCs w:val="20"/>
        </w:rPr>
        <w:t xml:space="preserve">Meléndez, M. (2018). </w:t>
      </w:r>
      <w:r w:rsidRPr="00C568A9">
        <w:rPr>
          <w:rFonts w:ascii="Arial" w:hAnsi="Arial" w:cs="Arial"/>
          <w:i/>
          <w:iCs/>
          <w:sz w:val="20"/>
          <w:szCs w:val="20"/>
        </w:rPr>
        <w:t>El marketing digital transforma la gestión de pymes en Colombia</w:t>
      </w:r>
      <w:r w:rsidRPr="00C568A9">
        <w:rPr>
          <w:rFonts w:ascii="Arial" w:hAnsi="Arial" w:cs="Arial"/>
          <w:sz w:val="20"/>
          <w:szCs w:val="20"/>
        </w:rPr>
        <w:t>. Recuperado de:</w:t>
      </w:r>
      <w:r w:rsidRPr="00C568A9">
        <w:rPr>
          <w:rFonts w:ascii="Arial" w:hAnsi="Arial" w:cs="Arial"/>
          <w:sz w:val="20"/>
          <w:szCs w:val="20"/>
        </w:rPr>
        <w:br/>
      </w:r>
      <w:hyperlink r:id="rId9" w:history="1">
        <w:r w:rsidRPr="00C568A9">
          <w:rPr>
            <w:rStyle w:val="Hipervnculo"/>
            <w:rFonts w:ascii="Arial" w:hAnsi="Arial" w:cs="Arial"/>
            <w:sz w:val="20"/>
            <w:szCs w:val="20"/>
          </w:rPr>
          <w:t>https://www.redalyc.org/jatsRepo/4096/409658132001/html/index.html</w:t>
        </w:r>
      </w:hyperlink>
    </w:p>
    <w:p w14:paraId="2475A572" w14:textId="77777777" w:rsidR="001757AE" w:rsidRPr="00C568A9" w:rsidRDefault="001757AE" w:rsidP="001757AE">
      <w:pPr>
        <w:jc w:val="both"/>
        <w:rPr>
          <w:rFonts w:ascii="Arial" w:hAnsi="Arial" w:cs="Arial"/>
          <w:sz w:val="20"/>
          <w:szCs w:val="20"/>
        </w:rPr>
      </w:pPr>
      <w:r w:rsidRPr="00C568A9">
        <w:rPr>
          <w:rFonts w:ascii="Arial" w:hAnsi="Arial" w:cs="Arial"/>
          <w:sz w:val="20"/>
          <w:szCs w:val="20"/>
        </w:rPr>
        <w:t xml:space="preserve">Monroy, N., &amp; Ahumada, C. (2006). </w:t>
      </w:r>
      <w:r w:rsidRPr="00C568A9">
        <w:rPr>
          <w:rFonts w:ascii="Arial" w:hAnsi="Arial" w:cs="Arial"/>
          <w:i/>
          <w:iCs/>
          <w:sz w:val="20"/>
          <w:szCs w:val="20"/>
        </w:rPr>
        <w:t>Logística reversa: retos para la ingeniería industrial</w:t>
      </w:r>
      <w:r w:rsidRPr="00C568A9">
        <w:rPr>
          <w:rFonts w:ascii="Arial" w:hAnsi="Arial" w:cs="Arial"/>
          <w:sz w:val="20"/>
          <w:szCs w:val="20"/>
        </w:rPr>
        <w:t>. Revista de Ingeniería, 23.</w:t>
      </w:r>
    </w:p>
    <w:p w14:paraId="5058C3A1" w14:textId="77777777" w:rsidR="001757AE" w:rsidRPr="00C568A9" w:rsidRDefault="001757AE" w:rsidP="001757AE">
      <w:pPr>
        <w:jc w:val="both"/>
        <w:rPr>
          <w:rFonts w:ascii="Arial" w:hAnsi="Arial" w:cs="Arial"/>
          <w:sz w:val="20"/>
          <w:szCs w:val="20"/>
        </w:rPr>
      </w:pPr>
      <w:r w:rsidRPr="00C568A9">
        <w:rPr>
          <w:rFonts w:ascii="Arial" w:hAnsi="Arial" w:cs="Arial"/>
          <w:sz w:val="20"/>
          <w:szCs w:val="20"/>
        </w:rPr>
        <w:t xml:space="preserve">Ministerio de Tecnologías de la Información y las Comunicaciones. (2020). </w:t>
      </w:r>
      <w:r w:rsidRPr="00C568A9">
        <w:rPr>
          <w:rFonts w:ascii="Arial" w:hAnsi="Arial" w:cs="Arial"/>
          <w:i/>
          <w:iCs/>
          <w:sz w:val="20"/>
          <w:szCs w:val="20"/>
        </w:rPr>
        <w:t>Resolución 202 de 2010</w:t>
      </w:r>
      <w:r w:rsidRPr="00C568A9">
        <w:rPr>
          <w:rFonts w:ascii="Arial" w:hAnsi="Arial" w:cs="Arial"/>
          <w:sz w:val="20"/>
          <w:szCs w:val="20"/>
        </w:rPr>
        <w:t>. Recuperado de:</w:t>
      </w:r>
      <w:r w:rsidRPr="00C568A9">
        <w:rPr>
          <w:rFonts w:ascii="Arial" w:hAnsi="Arial" w:cs="Arial"/>
          <w:sz w:val="20"/>
          <w:szCs w:val="20"/>
        </w:rPr>
        <w:br/>
      </w:r>
      <w:hyperlink r:id="rId10" w:history="1">
        <w:r w:rsidRPr="00C568A9">
          <w:rPr>
            <w:rStyle w:val="Hipervnculo"/>
            <w:rFonts w:ascii="Arial" w:hAnsi="Arial" w:cs="Arial"/>
            <w:sz w:val="20"/>
            <w:szCs w:val="20"/>
          </w:rPr>
          <w:t>https://normograma.mintic.gov.co/mintic/docs/resolucion_mintic_0202_2010.htm</w:t>
        </w:r>
      </w:hyperlink>
    </w:p>
    <w:p w14:paraId="577CC3A4" w14:textId="77777777" w:rsidR="0083224F" w:rsidRDefault="0083224F">
      <w:pPr>
        <w:spacing w:line="276" w:lineRule="auto"/>
        <w:jc w:val="both"/>
        <w:rPr>
          <w:rFonts w:ascii="Arial" w:eastAsia="Arial" w:hAnsi="Arial" w:cs="Arial"/>
          <w:sz w:val="20"/>
          <w:szCs w:val="20"/>
        </w:rPr>
      </w:pPr>
    </w:p>
    <w:sectPr w:rsidR="0083224F">
      <w:headerReference w:type="default" r:id="rId11"/>
      <w:pgSz w:w="12240" w:h="15840"/>
      <w:pgMar w:top="1701"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295C0" w14:textId="77777777" w:rsidR="00032FF0" w:rsidRDefault="00032FF0">
      <w:pPr>
        <w:spacing w:after="0" w:line="240" w:lineRule="auto"/>
      </w:pPr>
      <w:r>
        <w:separator/>
      </w:r>
    </w:p>
  </w:endnote>
  <w:endnote w:type="continuationSeparator" w:id="0">
    <w:p w14:paraId="7E8E4D6C" w14:textId="77777777" w:rsidR="00032FF0" w:rsidRDefault="00032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AAC448E1-34F0-4DA2-8BD2-5E1121C27610}"/>
    <w:embedBold r:id="rId2" w:fontKey="{59063D01-C8FF-457C-92AE-A9E2CD4765BB}"/>
    <w:embedItalic r:id="rId3" w:fontKey="{B7BA3C7A-3640-4528-A8F9-8B7369EDB45C}"/>
    <w:embedBoldItalic r:id="rId4" w:fontKey="{39F16A48-88FE-488F-86E5-B49F8FAF75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C9A70B23-12EA-40FF-B877-4AA5219A012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743FFE0B-19C6-4F0A-98B1-FD1F417299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18EAF" w14:textId="77777777" w:rsidR="00032FF0" w:rsidRDefault="00032FF0">
      <w:pPr>
        <w:spacing w:after="0" w:line="240" w:lineRule="auto"/>
      </w:pPr>
      <w:r>
        <w:separator/>
      </w:r>
    </w:p>
  </w:footnote>
  <w:footnote w:type="continuationSeparator" w:id="0">
    <w:p w14:paraId="76B0DAEE" w14:textId="77777777" w:rsidR="00032FF0" w:rsidRDefault="00032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0C8F" w14:textId="77777777" w:rsidR="0083224F" w:rsidRDefault="003830FA">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3AB1D2FF" wp14:editId="52F85471">
          <wp:simplePos x="0" y="0"/>
          <wp:positionH relativeFrom="column">
            <wp:posOffset>2400300</wp:posOffset>
          </wp:positionH>
          <wp:positionV relativeFrom="paragraph">
            <wp:posOffset>-95884</wp:posOffset>
          </wp:positionV>
          <wp:extent cx="592455" cy="56134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2455" cy="5613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24F"/>
    <w:rsid w:val="00032FF0"/>
    <w:rsid w:val="001757AE"/>
    <w:rsid w:val="003830FA"/>
    <w:rsid w:val="005B06AC"/>
    <w:rsid w:val="006A4A9A"/>
    <w:rsid w:val="0083224F"/>
    <w:rsid w:val="00994C2C"/>
    <w:rsid w:val="009F2A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CC67"/>
  <w15:docId w15:val="{2B22CA1F-4DEC-47EF-B2DF-2B13C3CA9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ipervnculo">
    <w:name w:val="Hyperlink"/>
    <w:basedOn w:val="Fuentedeprrafopredeter"/>
    <w:uiPriority w:val="99"/>
    <w:unhideWhenUsed/>
    <w:rsid w:val="001757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normograma.mintic.gov.co/mintic/docs/resolucion_mintic_0202_2010.htm" TargetMode="External"/><Relationship Id="rId4" Type="http://schemas.openxmlformats.org/officeDocument/2006/relationships/styles" Target="styles.xml"/><Relationship Id="rId9" Type="http://schemas.openxmlformats.org/officeDocument/2006/relationships/hyperlink" Target="https://www.redalyc.org/jatsRepo/4096/409658132001/html/index.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CC7F1F-39F9-4F2B-96FC-7F9D32EEA6AF}">
  <ds:schemaRefs>
    <ds:schemaRef ds:uri="http://schemas.microsoft.com/sharepoint/v3/contenttype/forms"/>
  </ds:schemaRefs>
</ds:datastoreItem>
</file>

<file path=customXml/itemProps2.xml><?xml version="1.0" encoding="utf-8"?>
<ds:datastoreItem xmlns:ds="http://schemas.openxmlformats.org/officeDocument/2006/customXml" ds:itemID="{67AD2330-444D-4843-BC74-9CF4026B8A80}"/>
</file>

<file path=customXml/itemProps3.xml><?xml version="1.0" encoding="utf-8"?>
<ds:datastoreItem xmlns:ds="http://schemas.openxmlformats.org/officeDocument/2006/customXml" ds:itemID="{0EEE599B-EA6B-4B83-8786-16E153B9DD8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782</Words>
  <Characters>4302</Characters>
  <Application>Microsoft Office Word</Application>
  <DocSecurity>0</DocSecurity>
  <Lines>35</Lines>
  <Paragraphs>10</Paragraphs>
  <ScaleCrop>false</ScaleCrop>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Jair Enrique Coll Gallardo</cp:lastModifiedBy>
  <cp:revision>4</cp:revision>
  <dcterms:created xsi:type="dcterms:W3CDTF">2026-05-29T16:41:00Z</dcterms:created>
  <dcterms:modified xsi:type="dcterms:W3CDTF">2026-08-06T16:47:00Z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Order">
    <vt:r8>85948000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2026-08-06T16:47:28Z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cc0e93f7-a799-4951-86be-2e54053a820f</vt:lpwstr>
  </property>
  <property fmtid="{D5CDD505-2E9C-101B-9397-08002B2CF9AE}" pid="19" name="MSIP_Label_fc111285-cafa-4fc9-8a9a-bd902089b24f_ContentBits">
    <vt:lpwstr>0</vt:lpwstr>
  </property>
  <property fmtid="{D5CDD505-2E9C-101B-9397-08002B2CF9AE}" pid="20" name="MSIP_Label_fc111285-cafa-4fc9-8a9a-bd902089b24f_Tag">
    <vt:lpwstr>10, 0, 1, 1</vt:lpwstr>
  </property>
</Properties>
</file>