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AB79F9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175A272E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422B21">
              <w:rPr>
                <w:rFonts w:ascii="Calibri" w:eastAsia="Calibri" w:hAnsi="Calibri" w:cs="Calibri"/>
                <w:i/>
                <w:color w:val="000000"/>
              </w:rPr>
              <w:t>: M</w:t>
            </w:r>
            <w:r w:rsidR="0006513E">
              <w:rPr>
                <w:rFonts w:ascii="Calibri" w:eastAsia="Calibri" w:hAnsi="Calibri" w:cs="Calibri"/>
                <w:i/>
                <w:color w:val="000000"/>
              </w:rPr>
              <w:t>onitoreo estratégico del transporte terrestre.</w:t>
            </w:r>
            <w:r w:rsidR="00422B21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41BBA87" w:rsidR="00C57B0F" w:rsidRPr="000E3ADC" w:rsidRDefault="0006513E" w:rsidP="0006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6513E">
              <w:rPr>
                <w:rFonts w:ascii="Calibri" w:eastAsia="Calibri" w:hAnsi="Calibri" w:cs="Calibri"/>
                <w:i/>
                <w:color w:val="auto"/>
              </w:rPr>
              <w:t>Gestión inteligente del monitoreo vial</w:t>
            </w:r>
            <w:r w:rsidR="00E27E63">
              <w:rPr>
                <w:rFonts w:ascii="Calibri" w:eastAsia="Calibri" w:hAnsi="Calibri" w:cs="Calibri"/>
                <w:i/>
                <w:color w:val="auto"/>
              </w:rPr>
              <w:t>,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</w:t>
            </w:r>
            <w:r w:rsidRPr="0006513E">
              <w:rPr>
                <w:rFonts w:ascii="Calibri" w:eastAsia="Calibri" w:hAnsi="Calibri" w:cs="Calibri"/>
                <w:i/>
                <w:color w:val="auto"/>
              </w:rPr>
              <w:t>istemas integrados de monitore</w:t>
            </w:r>
            <w:r w:rsidR="00E27E63">
              <w:rPr>
                <w:rFonts w:ascii="Calibri" w:eastAsia="Calibri" w:hAnsi="Calibri" w:cs="Calibri"/>
                <w:i/>
                <w:color w:val="auto"/>
              </w:rPr>
              <w:t>o.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0C93D6A0" w14:textId="038FF838" w:rsidR="00517075" w:rsidRPr="00517075" w:rsidRDefault="00517075" w:rsidP="005170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517075">
              <w:rPr>
                <w:rFonts w:ascii="Calibri" w:hAnsi="Calibri" w:cs="Calibri"/>
                <w:i/>
                <w:iCs/>
                <w:color w:val="000000" w:themeColor="text1"/>
              </w:rPr>
              <w:t xml:space="preserve">Proporcionar a los participantes los conocimientos, competencias técnicas necesarias para analizar, implementar y optimizar sistemas de monitoreo vial que contribuyan a una gestión eficiente, segura y sostenible del transporte. Permitiendo generar criterios de medición y planificación estratégica, se busca que los profesionales sean capaces de tomar decisiones informadas, mejorar la trazabilidad operativa y fortalecer la prevención de riesgos en las redes viales, en alineación con las demandas actuales de monitoreo </w:t>
            </w:r>
            <w:r>
              <w:rPr>
                <w:rFonts w:ascii="Calibri" w:hAnsi="Calibri" w:cs="Calibri"/>
                <w:i/>
                <w:iCs/>
                <w:color w:val="000000" w:themeColor="text1"/>
              </w:rPr>
              <w:t>estratégico</w:t>
            </w:r>
            <w:r w:rsidRPr="00517075">
              <w:rPr>
                <w:rFonts w:ascii="Calibri" w:hAnsi="Calibri" w:cs="Calibri"/>
                <w:i/>
                <w:iCs/>
                <w:color w:val="000000" w:themeColor="text1"/>
              </w:rPr>
              <w:t xml:space="preserve"> y control logístico</w:t>
            </w:r>
            <w:r w:rsidRPr="00517075">
              <w:rPr>
                <w:rFonts w:ascii="Calibri" w:hAnsi="Calibri" w:cs="Calibri"/>
                <w:i/>
                <w:iCs/>
              </w:rPr>
              <w:t>.</w:t>
            </w:r>
          </w:p>
          <w:p w14:paraId="79A04D82" w14:textId="079C2714" w:rsidR="00C57B0F" w:rsidRPr="00517075" w:rsidRDefault="00C57B0F" w:rsidP="002303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35F3DBB" w:rsidR="00C57B0F" w:rsidRPr="00E27E63" w:rsidRDefault="00B84C34" w:rsidP="00B84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</w:pPr>
            <w:r w:rsidRPr="00B84C34"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El monitoreo del transporte terrestre permite únicamente registrar la ubicación de los vehículos. 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555154D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E21E4D9" w:rsidR="00C57B0F" w:rsidRPr="00CA2567" w:rsidRDefault="00B84C3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889EACD" w:rsidR="00C57B0F" w:rsidRPr="008A1602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Excelente </w:t>
            </w:r>
            <w:r w:rsidR="008A1602"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respuesta, vamos ánimo que faltan pocas preguntas por responder.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34FD1C" w14:textId="77777777" w:rsidR="00C57B0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Respuesta incorrecta, revise nuevamente el </w:t>
            </w:r>
            <w:r w:rsidR="008A1602"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contenido formativo, para mejorar tu respuesta</w:t>
            </w:r>
          </w:p>
          <w:p w14:paraId="2AEB4913" w14:textId="77777777" w:rsid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1F74ED88" w14:textId="77777777" w:rsid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484D921F" w14:textId="422AF78E" w:rsidR="008A1602" w:rsidRP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A4A4B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A4A4B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CB41812" w:rsidR="00C57B0F" w:rsidRPr="00FA4A4B" w:rsidRDefault="00FA4A4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uso compartido de vehículos ayuda a reducir la congestión y la contaminación en las ciudades.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7B85A1B" w:rsidR="00C57B0F" w:rsidRPr="000E3ADC" w:rsidRDefault="00FA4A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21612AE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B604A8B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4E155A5C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AF51EF3" w:rsidR="00C57B0F" w:rsidRPr="00FA4A4B" w:rsidRDefault="00B84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B84C34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monitoreo terrestre se implementa exclusivamente en zonas urbanas</w:t>
            </w:r>
            <w:r w:rsidR="00FA4A4B"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C18263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57EE200" w:rsidR="00C57B0F" w:rsidRPr="000E3ADC" w:rsidRDefault="00FA4A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528F9BE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106332F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A4A4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A4A4B" w:rsidRDefault="00FA4A4B" w:rsidP="00FA4A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6065416" w:rsidR="00FA4A4B" w:rsidRPr="00FA4A4B" w:rsidRDefault="00B84C34" w:rsidP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84C34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Las tecnologías de geolocalización son fundamentales en el monitoreo del transporte terrestre.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BB704FD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72C40D51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A4A4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A4A4B" w:rsidRDefault="00FA4A4B" w:rsidP="00FA4A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C1B9F96" w:rsidR="00FA4A4B" w:rsidRPr="00FA4A4B" w:rsidRDefault="00FA4A4B" w:rsidP="00FA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68005A" w:rsidRPr="0068005A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 velocidad promedio, el tiempo de recorrido y la frecuencia de paso son ejemplos de criterios de medición vial.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151F0FD" w:rsidR="00C57B0F" w:rsidRPr="000E3ADC" w:rsidRDefault="00680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F9701FC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19FF905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905F4FF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A4A4B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FA4A4B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EA1809" w:rsidRPr="00FA4A4B">
              <w:rPr>
                <w:rFonts w:asciiTheme="majorHAnsi" w:eastAsia="Calibr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C756DDA" w:rsidR="00C57B0F" w:rsidRPr="00FA4A4B" w:rsidRDefault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68005A" w:rsidRPr="0068005A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Los criterios de medición </w:t>
            </w:r>
            <w:r w:rsidR="00405C90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vehicular</w:t>
            </w:r>
            <w:r w:rsidR="0068005A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68005A" w:rsidRPr="0068005A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se definen únicamente por las autoridades de tránsito locales.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3BBAAA6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EAB1118" w:rsidR="00C57B0F" w:rsidRPr="00EA1809" w:rsidRDefault="00FA4A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92B5803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84C98F3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7C7B0E3" w:rsidR="00075BDE" w:rsidRPr="00FA4A4B" w:rsidRDefault="00FA4A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68005A" w:rsidRPr="0068005A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 precisión y confiabilidad de los datos son aspectos clave en la selección de criterios de medición.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7F690D9" w:rsidR="00075BDE" w:rsidRPr="00EA1809" w:rsidRDefault="00FA4A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91FB88F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F5C3D86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034249E5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F7D7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F7D77" w:rsidRDefault="00FF7D77" w:rsidP="00FF7D7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2B12FDED" w:rsidR="00FF7D77" w:rsidRPr="0068005A" w:rsidRDefault="0068005A" w:rsidP="00FF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8005A"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No es necesario establecer criterios de medición para evaluar el desempeño de un sistema de monitoreo.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25FB7C03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950F290" w:rsidR="00075BDE" w:rsidRPr="00EA1809" w:rsidRDefault="00FF7D77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8DF6CF2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6C10D34D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F7D7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F7D7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182F5FB" w:rsidR="00075BDE" w:rsidRPr="00FF7D77" w:rsidRDefault="00FF7D77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transporte público eficiente es un pilar clave de la movilidad sostenible.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8C6E120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7AA71C9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15FCA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15FCA" w:rsidRDefault="00F15FCA" w:rsidP="00F15F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A72C707" w:rsidR="00F15FCA" w:rsidRPr="00F15FCA" w:rsidRDefault="002F5549" w:rsidP="00F1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2F5549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Las cámaras de videovigilancia, sensores de peso y radares son herramientas utilizadas en el monitoreo vial.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04A3BF3" w:rsidR="00075BDE" w:rsidRPr="00EA1809" w:rsidRDefault="002F554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2AEA9C0A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4C8123C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45E7A2ED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4084EC4E" w:rsidR="009921BA" w:rsidRPr="00F15FCA" w:rsidRDefault="002F5549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2F5549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métodos de monitoreo ya no se utilizan en ninguna parte del mundo.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4EDCB35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66A3E88" w:rsidR="009921BA" w:rsidRPr="00EA1809" w:rsidRDefault="002F554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0D224C1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6EF16DDF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775580E" w:rsidR="009921BA" w:rsidRPr="00F15FCA" w:rsidRDefault="002F554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2F5549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sensores inductivos permiten detectar el paso de vehículos mediante campos magnéticos.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1D23B74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094915D6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2639DFB" w:rsidR="009921BA" w:rsidRPr="00F15FCA" w:rsidRDefault="002F554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2F5549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 medición de emisiones contaminantes no es relevante para el monitoreo vial.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03BC26E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1A2A3070" w:rsidR="009921BA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74216E1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0AACD62E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104B0E23" w14:textId="77777777" w:rsidTr="00F15FCA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15FCA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42A8D92B" w:rsidR="009921BA" w:rsidRPr="00F15FCA" w:rsidRDefault="002F5549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2F5549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Solo se consideran datos cuantitativos en los criterios de medición.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F59FAF3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586B81A8" w:rsidR="009921BA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93C8EE3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024B8065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14BBE3A4" w:rsidR="009921BA" w:rsidRPr="00F15FCA" w:rsidRDefault="002F5549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2F5549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 selección de criterios de medición depende del objetivo del monitoreo.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0718D6A2" w:rsidR="009921BA" w:rsidRPr="00EA1809" w:rsidRDefault="002F554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EEEC656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B06BCE2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1FA4ADD8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D415285" w:rsidR="003605E9" w:rsidRPr="00F15FCA" w:rsidRDefault="00405C90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405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datos recopilados por herramientas de monitoreo pueden integrarse a plataformas de análisis predictivo.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1E0764FA" w:rsidR="003605E9" w:rsidRPr="00EA1809" w:rsidRDefault="00405C9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1CB98830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E6C119A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A269712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D80422A" w:rsidR="003605E9" w:rsidRPr="00F15FCA" w:rsidRDefault="00405C90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405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sistemas de monitoreo no necesitan conectividad en tiempo real para ser efectivos.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BA130E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5C76FBA8" w:rsidR="003605E9" w:rsidRPr="00EA1809" w:rsidRDefault="00405C9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956058B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AC72322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15FCA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0EF3DB8" w:rsidR="003605E9" w:rsidRPr="00F15FCA" w:rsidRDefault="00405C90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405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drones se están incorporando como herramienta emergente de monitoreo vial.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C62C6EB" w:rsidR="003605E9" w:rsidRPr="00EA1809" w:rsidRDefault="00F15FC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4475DB8B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107013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29FD3AB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15FCA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0BB2E3AA" w:rsidR="003605E9" w:rsidRPr="00F15FCA" w:rsidRDefault="00405C90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405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Las cámaras LPR (reconocimiento de placas) permiten identificar vehículos en circulación.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7832E08C" w:rsidR="003605E9" w:rsidRPr="00EA1809" w:rsidRDefault="002F554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52DD4063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422454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503A3ED7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E541FE6" w:rsidR="003605E9" w:rsidRPr="00452B83" w:rsidRDefault="00405C90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405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Las herramientas de monitoreo no requieren calibración una vez instaladas.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1984836E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C587B71" w:rsidR="003605E9" w:rsidRPr="00EA1809" w:rsidRDefault="00405C9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9B6DDDA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6B82A5FB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¡Excelente! </w:t>
            </w:r>
            <w:r w:rsidR="00452B83">
              <w:rPr>
                <w:rFonts w:ascii="Calibri" w:eastAsia="Calibri" w:hAnsi="Calibri" w:cs="Calibri"/>
                <w:i/>
                <w:color w:val="auto"/>
              </w:rPr>
              <w:t xml:space="preserve">Te </w:t>
            </w:r>
            <w:r w:rsidR="00452B83" w:rsidRPr="005D6C01">
              <w:rPr>
                <w:rFonts w:ascii="Calibri" w:eastAsia="Calibri" w:hAnsi="Calibri" w:cs="Calibri"/>
                <w:i/>
                <w:color w:val="auto"/>
              </w:rPr>
              <w:t>felicito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FA9770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</w:t>
            </w:r>
            <w:r w:rsidR="00452B83">
              <w:rPr>
                <w:rFonts w:ascii="Calibri" w:eastAsia="Calibri" w:hAnsi="Calibri" w:cs="Calibri"/>
                <w:i/>
                <w:color w:val="auto"/>
              </w:rPr>
              <w:t xml:space="preserve"> Pero podemos mejorar nuestras respuestas, te invitamos a revisar el componente formativo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E0F0207" w:rsidR="00A9514B" w:rsidRDefault="00452B8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Yasmín Maldonado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BB1C7F9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551CC4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38B060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EB73B" w14:textId="77777777" w:rsidR="005E18D0" w:rsidRDefault="005E18D0">
      <w:pPr>
        <w:spacing w:line="240" w:lineRule="auto"/>
      </w:pPr>
      <w:r>
        <w:separator/>
      </w:r>
    </w:p>
  </w:endnote>
  <w:endnote w:type="continuationSeparator" w:id="0">
    <w:p w14:paraId="5DE123C9" w14:textId="77777777" w:rsidR="005E18D0" w:rsidRDefault="005E1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0B514" w14:textId="77777777" w:rsidR="005E18D0" w:rsidRDefault="005E18D0">
      <w:pPr>
        <w:spacing w:line="240" w:lineRule="auto"/>
      </w:pPr>
      <w:r>
        <w:separator/>
      </w:r>
    </w:p>
  </w:footnote>
  <w:footnote w:type="continuationSeparator" w:id="0">
    <w:p w14:paraId="62D68C01" w14:textId="77777777" w:rsidR="005E18D0" w:rsidRDefault="005E1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29022265">
    <w:abstractNumId w:val="1"/>
  </w:num>
  <w:num w:numId="2" w16cid:durableId="2982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495F"/>
    <w:rsid w:val="0006513E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3FB"/>
    <w:rsid w:val="00230CDA"/>
    <w:rsid w:val="002A3513"/>
    <w:rsid w:val="002D3052"/>
    <w:rsid w:val="002E46FB"/>
    <w:rsid w:val="002F5549"/>
    <w:rsid w:val="003605E9"/>
    <w:rsid w:val="00362E05"/>
    <w:rsid w:val="00383143"/>
    <w:rsid w:val="00391997"/>
    <w:rsid w:val="0039334F"/>
    <w:rsid w:val="003C6BB2"/>
    <w:rsid w:val="00405C90"/>
    <w:rsid w:val="00422B21"/>
    <w:rsid w:val="00452B83"/>
    <w:rsid w:val="00475EC9"/>
    <w:rsid w:val="00482C46"/>
    <w:rsid w:val="004A00B2"/>
    <w:rsid w:val="004E274A"/>
    <w:rsid w:val="00517075"/>
    <w:rsid w:val="005D6C01"/>
    <w:rsid w:val="005E18D0"/>
    <w:rsid w:val="00654A50"/>
    <w:rsid w:val="0068005A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63D1C"/>
    <w:rsid w:val="00B84C34"/>
    <w:rsid w:val="00BB561B"/>
    <w:rsid w:val="00BD183E"/>
    <w:rsid w:val="00BE7AE1"/>
    <w:rsid w:val="00C0495F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E23F58"/>
    <w:rsid w:val="00E27E63"/>
    <w:rsid w:val="00E8117C"/>
    <w:rsid w:val="00EA1809"/>
    <w:rsid w:val="00EA4920"/>
    <w:rsid w:val="00ED3B41"/>
    <w:rsid w:val="00F03327"/>
    <w:rsid w:val="00F15FCA"/>
    <w:rsid w:val="00F22708"/>
    <w:rsid w:val="00F321DB"/>
    <w:rsid w:val="00F52AA1"/>
    <w:rsid w:val="00FA4A4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3D5F5ECE-8E99-49EC-A288-B9D1BD7E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yasmin maldonado</cp:lastModifiedBy>
  <cp:revision>9</cp:revision>
  <dcterms:created xsi:type="dcterms:W3CDTF">2025-04-18T02:13:00Z</dcterms:created>
  <dcterms:modified xsi:type="dcterms:W3CDTF">2025-05-12T16:19:00Z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