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85E45" w:rsidRDefault="00C85E45">
      <w:pPr>
        <w:jc w:val="center"/>
        <w:rPr>
          <w:b/>
          <w:sz w:val="20"/>
          <w:szCs w:val="20"/>
        </w:rPr>
      </w:pPr>
    </w:p>
    <w:p w14:paraId="00000002" w14:textId="77777777" w:rsidR="00C85E45" w:rsidRDefault="00000000">
      <w:pPr>
        <w:jc w:val="center"/>
        <w:rPr>
          <w:b/>
          <w:sz w:val="20"/>
          <w:szCs w:val="20"/>
        </w:rPr>
      </w:pPr>
      <w:r>
        <w:rPr>
          <w:b/>
          <w:sz w:val="20"/>
          <w:szCs w:val="20"/>
        </w:rPr>
        <w:t>Normatividad corporativa de seguridad de la información</w:t>
      </w:r>
    </w:p>
    <w:p w14:paraId="00000003" w14:textId="77777777" w:rsidR="00C85E45" w:rsidRDefault="00C85E45">
      <w:pPr>
        <w:jc w:val="both"/>
        <w:rPr>
          <w:sz w:val="20"/>
          <w:szCs w:val="20"/>
        </w:rPr>
      </w:pPr>
    </w:p>
    <w:p w14:paraId="00000004" w14:textId="77777777" w:rsidR="00C85E45" w:rsidRDefault="00C85E45">
      <w:pPr>
        <w:jc w:val="both"/>
        <w:rPr>
          <w:sz w:val="20"/>
          <w:szCs w:val="20"/>
        </w:rPr>
      </w:pPr>
    </w:p>
    <w:p w14:paraId="00000005" w14:textId="77777777" w:rsidR="00C85E45" w:rsidRDefault="00000000">
      <w:pPr>
        <w:jc w:val="both"/>
        <w:rPr>
          <w:sz w:val="20"/>
          <w:szCs w:val="20"/>
        </w:rPr>
      </w:pPr>
      <w:r>
        <w:rPr>
          <w:sz w:val="20"/>
          <w:szCs w:val="20"/>
        </w:rPr>
        <w:t xml:space="preserve">Las empresas y las organizaciones, en lo relativo a la seguridad de la información, están llamadas a atender y cumplir formalmente con requerimientos, normas, estándares, y, como es lógico, han de estar alertas a mitigar o atender los riesgos a los que se ven enfrentadas permanentemente. </w:t>
      </w:r>
    </w:p>
    <w:p w14:paraId="00000006" w14:textId="77777777" w:rsidR="00C85E45" w:rsidRDefault="00C85E45">
      <w:pPr>
        <w:jc w:val="both"/>
        <w:rPr>
          <w:sz w:val="20"/>
          <w:szCs w:val="20"/>
        </w:rPr>
      </w:pPr>
    </w:p>
    <w:p w14:paraId="00000007" w14:textId="77777777" w:rsidR="00C85E45" w:rsidRDefault="00000000">
      <w:pPr>
        <w:jc w:val="both"/>
        <w:rPr>
          <w:sz w:val="20"/>
          <w:szCs w:val="20"/>
        </w:rPr>
      </w:pPr>
      <w:r>
        <w:rPr>
          <w:sz w:val="20"/>
          <w:szCs w:val="20"/>
        </w:rPr>
        <w:t>Las normas y estándares que han ido surgiendo, con el fin de fortalecer el cumplimiento y la atención a dichas necesidades, se enunciarán y describirán de manera general, a continuación.</w:t>
      </w:r>
    </w:p>
    <w:p w14:paraId="00000008" w14:textId="77777777" w:rsidR="00C85E45" w:rsidRDefault="00C85E45">
      <w:pPr>
        <w:rPr>
          <w:sz w:val="20"/>
          <w:szCs w:val="20"/>
        </w:rPr>
      </w:pPr>
    </w:p>
    <w:p w14:paraId="00000009" w14:textId="77777777" w:rsidR="00C85E45" w:rsidRDefault="00000000">
      <w:pPr>
        <w:numPr>
          <w:ilvl w:val="0"/>
          <w:numId w:val="4"/>
        </w:numPr>
        <w:pBdr>
          <w:top w:val="nil"/>
          <w:left w:val="nil"/>
          <w:bottom w:val="nil"/>
          <w:right w:val="nil"/>
          <w:between w:val="nil"/>
        </w:pBdr>
        <w:ind w:left="360"/>
        <w:rPr>
          <w:b/>
          <w:color w:val="000000"/>
          <w:sz w:val="20"/>
          <w:szCs w:val="20"/>
        </w:rPr>
      </w:pPr>
      <w:r w:rsidRPr="00440397">
        <w:rPr>
          <w:b/>
          <w:i/>
          <w:iCs/>
          <w:color w:val="000000"/>
          <w:sz w:val="20"/>
          <w:szCs w:val="20"/>
        </w:rPr>
        <w:t>Cobit</w:t>
      </w:r>
      <w:r>
        <w:rPr>
          <w:b/>
          <w:color w:val="000000"/>
          <w:sz w:val="20"/>
          <w:szCs w:val="20"/>
        </w:rPr>
        <w:t xml:space="preserve"> 5</w:t>
      </w:r>
    </w:p>
    <w:p w14:paraId="0000000A" w14:textId="77777777" w:rsidR="00C85E45" w:rsidRDefault="00C85E45">
      <w:pPr>
        <w:jc w:val="both"/>
        <w:rPr>
          <w:sz w:val="20"/>
          <w:szCs w:val="20"/>
        </w:rPr>
      </w:pPr>
    </w:p>
    <w:p w14:paraId="0000000B" w14:textId="77777777" w:rsidR="00C85E45" w:rsidRDefault="00000000">
      <w:pPr>
        <w:jc w:val="both"/>
        <w:rPr>
          <w:sz w:val="20"/>
          <w:szCs w:val="20"/>
        </w:rPr>
      </w:pPr>
      <w:r w:rsidRPr="00440397">
        <w:rPr>
          <w:i/>
          <w:iCs/>
          <w:sz w:val="20"/>
          <w:szCs w:val="20"/>
        </w:rPr>
        <w:t>Cobit</w:t>
      </w:r>
      <w:r>
        <w:rPr>
          <w:sz w:val="20"/>
          <w:szCs w:val="20"/>
        </w:rPr>
        <w:t xml:space="preserve">, de sus siglas en inglés </w:t>
      </w:r>
      <w:r>
        <w:rPr>
          <w:i/>
          <w:sz w:val="20"/>
          <w:szCs w:val="20"/>
        </w:rPr>
        <w:t>Control Objectives for Information and related Technology</w:t>
      </w:r>
      <w:r>
        <w:rPr>
          <w:sz w:val="20"/>
          <w:szCs w:val="20"/>
        </w:rPr>
        <w:t xml:space="preserve"> (Objetivos de control para la información y tecnologías relacionadas), contempla un conjunto de herramientas enfocadas en garantizar el control y el seguimiento del gobierno de tecnologías de la información </w:t>
      </w:r>
      <w:r>
        <w:rPr>
          <w:b/>
          <w:sz w:val="20"/>
          <w:szCs w:val="20"/>
        </w:rPr>
        <w:t>T.I.</w:t>
      </w:r>
      <w:r>
        <w:rPr>
          <w:sz w:val="20"/>
          <w:szCs w:val="20"/>
        </w:rPr>
        <w:t>, a partir de las buenas prácticas y mediante un seguimiento y unas auditorías permanentes.</w:t>
      </w:r>
    </w:p>
    <w:p w14:paraId="0000000C" w14:textId="77777777" w:rsidR="00C85E45" w:rsidRDefault="00C85E45">
      <w:pPr>
        <w:pBdr>
          <w:top w:val="nil"/>
          <w:left w:val="nil"/>
          <w:bottom w:val="nil"/>
          <w:right w:val="nil"/>
          <w:between w:val="nil"/>
        </w:pBdr>
        <w:ind w:left="792"/>
        <w:jc w:val="both"/>
        <w:rPr>
          <w:color w:val="000000"/>
          <w:sz w:val="20"/>
          <w:szCs w:val="20"/>
        </w:rPr>
      </w:pPr>
    </w:p>
    <w:p w14:paraId="0000000D" w14:textId="69695C12" w:rsidR="00C85E45" w:rsidRDefault="00000000">
      <w:pPr>
        <w:jc w:val="both"/>
        <w:rPr>
          <w:sz w:val="20"/>
          <w:szCs w:val="20"/>
        </w:rPr>
      </w:pPr>
      <w:r>
        <w:rPr>
          <w:sz w:val="20"/>
          <w:szCs w:val="20"/>
        </w:rPr>
        <w:t xml:space="preserve">Los Cobit se fundamentan bajo 5 principios, como se puede observar en la </w:t>
      </w:r>
      <w:r w:rsidR="00EF58C1">
        <w:rPr>
          <w:sz w:val="20"/>
          <w:szCs w:val="20"/>
        </w:rPr>
        <w:t>siguiente figura</w:t>
      </w:r>
      <w:r>
        <w:rPr>
          <w:sz w:val="20"/>
          <w:szCs w:val="20"/>
        </w:rPr>
        <w:t xml:space="preserve">, los cuales </w:t>
      </w:r>
      <w:r w:rsidR="00EF58C1">
        <w:rPr>
          <w:sz w:val="20"/>
          <w:szCs w:val="20"/>
        </w:rPr>
        <w:t>propician</w:t>
      </w:r>
      <w:r>
        <w:rPr>
          <w:sz w:val="20"/>
          <w:szCs w:val="20"/>
        </w:rPr>
        <w:t>:</w:t>
      </w:r>
    </w:p>
    <w:p w14:paraId="0000000E" w14:textId="77777777" w:rsidR="00C85E45" w:rsidRDefault="00C85E45">
      <w:pPr>
        <w:pBdr>
          <w:top w:val="nil"/>
          <w:left w:val="nil"/>
          <w:bottom w:val="nil"/>
          <w:right w:val="nil"/>
          <w:between w:val="nil"/>
        </w:pBdr>
        <w:ind w:left="792"/>
        <w:jc w:val="both"/>
        <w:rPr>
          <w:color w:val="000000"/>
          <w:sz w:val="20"/>
          <w:szCs w:val="20"/>
        </w:rPr>
      </w:pPr>
    </w:p>
    <w:p w14:paraId="0000000F" w14:textId="11FDA9AB" w:rsidR="00C85E45" w:rsidRDefault="00000000">
      <w:pPr>
        <w:keepNext/>
        <w:pBdr>
          <w:top w:val="nil"/>
          <w:left w:val="nil"/>
          <w:bottom w:val="nil"/>
          <w:right w:val="nil"/>
          <w:between w:val="nil"/>
        </w:pBdr>
        <w:spacing w:line="240" w:lineRule="auto"/>
        <w:rPr>
          <w:b/>
          <w:color w:val="000000"/>
          <w:sz w:val="20"/>
          <w:szCs w:val="20"/>
        </w:rPr>
      </w:pPr>
      <w:r>
        <w:rPr>
          <w:b/>
          <w:color w:val="000000"/>
          <w:sz w:val="20"/>
          <w:szCs w:val="20"/>
        </w:rPr>
        <w:t xml:space="preserve">Figura </w:t>
      </w:r>
      <w:r w:rsidR="00054750">
        <w:rPr>
          <w:b/>
          <w:color w:val="000000"/>
          <w:sz w:val="20"/>
          <w:szCs w:val="20"/>
        </w:rPr>
        <w:t>1</w:t>
      </w:r>
    </w:p>
    <w:p w14:paraId="00000010" w14:textId="77777777" w:rsidR="00C85E45" w:rsidRDefault="00000000">
      <w:pPr>
        <w:keepNext/>
        <w:pBdr>
          <w:top w:val="nil"/>
          <w:left w:val="nil"/>
          <w:bottom w:val="nil"/>
          <w:right w:val="nil"/>
          <w:between w:val="nil"/>
        </w:pBdr>
        <w:spacing w:line="240" w:lineRule="auto"/>
        <w:rPr>
          <w:i/>
          <w:color w:val="000000"/>
          <w:sz w:val="20"/>
          <w:szCs w:val="20"/>
        </w:rPr>
      </w:pPr>
      <w:r>
        <w:rPr>
          <w:i/>
          <w:color w:val="000000"/>
          <w:sz w:val="20"/>
          <w:szCs w:val="20"/>
        </w:rPr>
        <w:t>Principios de COBIT 5</w:t>
      </w:r>
    </w:p>
    <w:p w14:paraId="00000011" w14:textId="77777777" w:rsidR="00C85E45" w:rsidRDefault="00000000">
      <w:pPr>
        <w:pBdr>
          <w:top w:val="nil"/>
          <w:left w:val="nil"/>
          <w:bottom w:val="nil"/>
          <w:right w:val="nil"/>
          <w:between w:val="nil"/>
        </w:pBdr>
        <w:ind w:left="792"/>
        <w:jc w:val="center"/>
        <w:rPr>
          <w:color w:val="000000"/>
          <w:sz w:val="20"/>
          <w:szCs w:val="20"/>
        </w:rPr>
      </w:pPr>
      <w:sdt>
        <w:sdtPr>
          <w:tag w:val="goog_rdk_0"/>
          <w:id w:val="-1810007871"/>
        </w:sdtPr>
        <w:sdtContent>
          <w:commentRangeStart w:id="0"/>
        </w:sdtContent>
      </w:sdt>
      <w:r>
        <w:rPr>
          <w:noProof/>
          <w:color w:val="000000"/>
          <w:sz w:val="20"/>
          <w:szCs w:val="20"/>
        </w:rPr>
        <w:drawing>
          <wp:inline distT="0" distB="0" distL="0" distR="0" wp14:anchorId="58F95A0A" wp14:editId="7100240C">
            <wp:extent cx="3100867" cy="2960313"/>
            <wp:effectExtent l="0" t="0" r="0" b="0"/>
            <wp:docPr id="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00867" cy="2960313"/>
                    </a:xfrm>
                    <a:prstGeom prst="rect">
                      <a:avLst/>
                    </a:prstGeom>
                    <a:ln/>
                  </pic:spPr>
                </pic:pic>
              </a:graphicData>
            </a:graphic>
          </wp:inline>
        </w:drawing>
      </w:r>
      <w:commentRangeEnd w:id="0"/>
      <w:r>
        <w:commentReference w:id="0"/>
      </w:r>
    </w:p>
    <w:p w14:paraId="00000012" w14:textId="77777777" w:rsidR="00C85E45" w:rsidRDefault="00000000">
      <w:pPr>
        <w:pBdr>
          <w:top w:val="nil"/>
          <w:left w:val="nil"/>
          <w:bottom w:val="nil"/>
          <w:right w:val="nil"/>
          <w:between w:val="nil"/>
        </w:pBdr>
        <w:ind w:left="792"/>
        <w:jc w:val="both"/>
        <w:rPr>
          <w:color w:val="000000"/>
          <w:sz w:val="20"/>
          <w:szCs w:val="20"/>
        </w:rPr>
      </w:pPr>
      <w:r>
        <w:rPr>
          <w:color w:val="000000"/>
          <w:sz w:val="20"/>
          <w:szCs w:val="20"/>
        </w:rPr>
        <w:t xml:space="preserve">Nota. Recuperada de </w:t>
      </w:r>
      <w:hyperlink r:id="rId15">
        <w:r>
          <w:rPr>
            <w:color w:val="0563C1"/>
            <w:sz w:val="20"/>
            <w:szCs w:val="20"/>
            <w:u w:val="single"/>
          </w:rPr>
          <w:t>COBIT 5: el nuevo marco para la Gobernanza de las TIC - Netmind</w:t>
        </w:r>
      </w:hyperlink>
    </w:p>
    <w:p w14:paraId="00000013" w14:textId="77777777" w:rsidR="00C85E45" w:rsidRDefault="00C85E45">
      <w:pPr>
        <w:pBdr>
          <w:top w:val="nil"/>
          <w:left w:val="nil"/>
          <w:bottom w:val="nil"/>
          <w:right w:val="nil"/>
          <w:between w:val="nil"/>
        </w:pBdr>
        <w:ind w:left="792"/>
        <w:jc w:val="both"/>
        <w:rPr>
          <w:color w:val="000000"/>
          <w:sz w:val="20"/>
          <w:szCs w:val="20"/>
        </w:rPr>
      </w:pPr>
    </w:p>
    <w:p w14:paraId="00000014" w14:textId="30EFCD93" w:rsidR="00C85E45" w:rsidRDefault="00000000">
      <w:pPr>
        <w:jc w:val="both"/>
        <w:rPr>
          <w:sz w:val="20"/>
          <w:szCs w:val="20"/>
        </w:rPr>
      </w:pPr>
      <w:r>
        <w:rPr>
          <w:sz w:val="20"/>
          <w:szCs w:val="20"/>
        </w:rPr>
        <w:t xml:space="preserve">Estos principios buscan apalancarse a partir de los 7 catalizadores, como se muestra en la Figura </w:t>
      </w:r>
      <w:r w:rsidR="00054750">
        <w:rPr>
          <w:sz w:val="20"/>
          <w:szCs w:val="20"/>
        </w:rPr>
        <w:t>2</w:t>
      </w:r>
      <w:r>
        <w:rPr>
          <w:sz w:val="20"/>
          <w:szCs w:val="20"/>
        </w:rPr>
        <w:t>, con los cuales se busca que las organizaciones definan y gestionen sus interacciones, facilitando así la integración.</w:t>
      </w:r>
    </w:p>
    <w:p w14:paraId="00000015" w14:textId="77777777" w:rsidR="00C85E45" w:rsidRDefault="00C85E45">
      <w:pPr>
        <w:pBdr>
          <w:top w:val="nil"/>
          <w:left w:val="nil"/>
          <w:bottom w:val="nil"/>
          <w:right w:val="nil"/>
          <w:between w:val="nil"/>
        </w:pBdr>
        <w:ind w:left="792"/>
        <w:rPr>
          <w:color w:val="000000"/>
          <w:sz w:val="20"/>
          <w:szCs w:val="20"/>
        </w:rPr>
      </w:pPr>
    </w:p>
    <w:p w14:paraId="00000016" w14:textId="0E52C7FE" w:rsidR="00C85E45" w:rsidRDefault="00000000" w:rsidP="00054750">
      <w:pPr>
        <w:keepNext/>
        <w:pBdr>
          <w:top w:val="nil"/>
          <w:left w:val="nil"/>
          <w:bottom w:val="nil"/>
          <w:right w:val="nil"/>
          <w:between w:val="nil"/>
        </w:pBdr>
        <w:spacing w:line="240" w:lineRule="auto"/>
        <w:rPr>
          <w:b/>
          <w:color w:val="000000"/>
          <w:sz w:val="20"/>
          <w:szCs w:val="20"/>
        </w:rPr>
      </w:pPr>
      <w:r>
        <w:rPr>
          <w:b/>
          <w:color w:val="000000"/>
          <w:sz w:val="20"/>
          <w:szCs w:val="20"/>
        </w:rPr>
        <w:lastRenderedPageBreak/>
        <w:t xml:space="preserve">Figura </w:t>
      </w:r>
      <w:r w:rsidR="00054750">
        <w:rPr>
          <w:b/>
          <w:color w:val="000000"/>
          <w:sz w:val="20"/>
          <w:szCs w:val="20"/>
        </w:rPr>
        <w:t>2</w:t>
      </w:r>
      <w:r>
        <w:rPr>
          <w:b/>
          <w:color w:val="000000"/>
          <w:sz w:val="20"/>
          <w:szCs w:val="20"/>
        </w:rPr>
        <w:t>.</w:t>
      </w:r>
    </w:p>
    <w:p w14:paraId="00000017" w14:textId="77777777" w:rsidR="00C85E45" w:rsidRDefault="00000000" w:rsidP="00054750">
      <w:pPr>
        <w:keepNext/>
        <w:pBdr>
          <w:top w:val="nil"/>
          <w:left w:val="nil"/>
          <w:bottom w:val="nil"/>
          <w:right w:val="nil"/>
          <w:between w:val="nil"/>
        </w:pBdr>
        <w:spacing w:line="240" w:lineRule="auto"/>
        <w:rPr>
          <w:i/>
          <w:color w:val="000000"/>
          <w:sz w:val="20"/>
          <w:szCs w:val="20"/>
        </w:rPr>
      </w:pPr>
      <w:r>
        <w:rPr>
          <w:i/>
          <w:color w:val="000000"/>
          <w:sz w:val="20"/>
          <w:szCs w:val="20"/>
        </w:rPr>
        <w:t>Catalizadores de Cobit 5</w:t>
      </w:r>
    </w:p>
    <w:p w14:paraId="00000018" w14:textId="77777777" w:rsidR="00C85E45" w:rsidRDefault="00000000" w:rsidP="00054750">
      <w:pPr>
        <w:rPr>
          <w:sz w:val="20"/>
          <w:szCs w:val="20"/>
        </w:rPr>
      </w:pPr>
      <w:sdt>
        <w:sdtPr>
          <w:tag w:val="goog_rdk_1"/>
          <w:id w:val="-1092386719"/>
        </w:sdtPr>
        <w:sdtContent>
          <w:commentRangeStart w:id="1"/>
        </w:sdtContent>
      </w:sdt>
      <w:r>
        <w:rPr>
          <w:noProof/>
        </w:rPr>
        <w:drawing>
          <wp:inline distT="0" distB="0" distL="0" distR="0" wp14:anchorId="2D73C836" wp14:editId="4DD4902A">
            <wp:extent cx="5649411" cy="2360370"/>
            <wp:effectExtent l="0" t="0" r="0" b="0"/>
            <wp:docPr id="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649411" cy="2360370"/>
                    </a:xfrm>
                    <a:prstGeom prst="rect">
                      <a:avLst/>
                    </a:prstGeom>
                    <a:ln/>
                  </pic:spPr>
                </pic:pic>
              </a:graphicData>
            </a:graphic>
          </wp:inline>
        </w:drawing>
      </w:r>
      <w:commentRangeEnd w:id="1"/>
      <w:r>
        <w:commentReference w:id="1"/>
      </w:r>
    </w:p>
    <w:p w14:paraId="00000019" w14:textId="77777777" w:rsidR="00C85E45" w:rsidRDefault="00000000">
      <w:pPr>
        <w:pBdr>
          <w:top w:val="nil"/>
          <w:left w:val="nil"/>
          <w:bottom w:val="nil"/>
          <w:right w:val="nil"/>
          <w:between w:val="nil"/>
        </w:pBdr>
        <w:ind w:left="792"/>
        <w:jc w:val="both"/>
        <w:rPr>
          <w:color w:val="000000"/>
          <w:sz w:val="20"/>
          <w:szCs w:val="20"/>
        </w:rPr>
      </w:pPr>
      <w:r>
        <w:rPr>
          <w:color w:val="000000"/>
          <w:sz w:val="20"/>
          <w:szCs w:val="20"/>
        </w:rPr>
        <w:t xml:space="preserve">Nota. Recuperada de </w:t>
      </w:r>
      <w:hyperlink r:id="rId17">
        <w:r>
          <w:rPr>
            <w:color w:val="0563C1"/>
            <w:sz w:val="20"/>
            <w:szCs w:val="20"/>
            <w:u w:val="single"/>
          </w:rPr>
          <w:t>COBIT 5: el nuevo marco para la Gobernanza de las TIC - Netmind</w:t>
        </w:r>
      </w:hyperlink>
    </w:p>
    <w:p w14:paraId="0000001A" w14:textId="77777777" w:rsidR="00C85E45" w:rsidRDefault="00C85E45">
      <w:pPr>
        <w:rPr>
          <w:sz w:val="20"/>
          <w:szCs w:val="20"/>
        </w:rPr>
      </w:pPr>
    </w:p>
    <w:p w14:paraId="0000001B" w14:textId="3B87EE74" w:rsidR="00C85E45" w:rsidRDefault="00000000">
      <w:pPr>
        <w:jc w:val="both"/>
        <w:rPr>
          <w:sz w:val="20"/>
          <w:szCs w:val="20"/>
        </w:rPr>
      </w:pPr>
      <w:r>
        <w:rPr>
          <w:sz w:val="20"/>
          <w:szCs w:val="20"/>
        </w:rPr>
        <w:t xml:space="preserve">Además, los </w:t>
      </w:r>
      <w:r w:rsidRPr="00440397">
        <w:rPr>
          <w:b/>
          <w:i/>
          <w:iCs/>
          <w:sz w:val="20"/>
          <w:szCs w:val="20"/>
        </w:rPr>
        <w:t>Cobit</w:t>
      </w:r>
      <w:r>
        <w:rPr>
          <w:b/>
          <w:sz w:val="20"/>
          <w:szCs w:val="20"/>
        </w:rPr>
        <w:t xml:space="preserve"> 5</w:t>
      </w:r>
      <w:r>
        <w:rPr>
          <w:sz w:val="20"/>
          <w:szCs w:val="20"/>
        </w:rPr>
        <w:t xml:space="preserve"> proponen un modelo de objetivos en cascada, con lo cual se busca la integración TI-Negocio, como se muestra en la Figura </w:t>
      </w:r>
      <w:r w:rsidR="00054750">
        <w:rPr>
          <w:sz w:val="20"/>
          <w:szCs w:val="20"/>
        </w:rPr>
        <w:t>3</w:t>
      </w:r>
      <w:r>
        <w:rPr>
          <w:sz w:val="20"/>
          <w:szCs w:val="20"/>
        </w:rPr>
        <w:t>, donde se plantea el modelo de gestión de procesos:</w:t>
      </w:r>
    </w:p>
    <w:p w14:paraId="0000001C" w14:textId="77777777" w:rsidR="00C85E45" w:rsidRDefault="00C85E45">
      <w:pPr>
        <w:pBdr>
          <w:top w:val="nil"/>
          <w:left w:val="nil"/>
          <w:bottom w:val="nil"/>
          <w:right w:val="nil"/>
          <w:between w:val="nil"/>
        </w:pBdr>
        <w:ind w:left="792"/>
        <w:rPr>
          <w:color w:val="000000"/>
          <w:sz w:val="20"/>
          <w:szCs w:val="20"/>
        </w:rPr>
      </w:pPr>
    </w:p>
    <w:p w14:paraId="0000001D" w14:textId="407022CF" w:rsidR="00C85E45" w:rsidRDefault="00000000">
      <w:pPr>
        <w:keepNext/>
        <w:pBdr>
          <w:top w:val="nil"/>
          <w:left w:val="nil"/>
          <w:bottom w:val="nil"/>
          <w:right w:val="nil"/>
          <w:between w:val="nil"/>
        </w:pBdr>
        <w:spacing w:line="240" w:lineRule="auto"/>
        <w:ind w:firstLine="720"/>
        <w:rPr>
          <w:b/>
          <w:color w:val="000000"/>
          <w:sz w:val="20"/>
          <w:szCs w:val="20"/>
        </w:rPr>
      </w:pPr>
      <w:r>
        <w:rPr>
          <w:b/>
          <w:color w:val="000000"/>
          <w:sz w:val="20"/>
          <w:szCs w:val="20"/>
        </w:rPr>
        <w:t xml:space="preserve">Figura </w:t>
      </w:r>
      <w:r w:rsidR="00054750">
        <w:rPr>
          <w:b/>
          <w:color w:val="000000"/>
          <w:sz w:val="20"/>
          <w:szCs w:val="20"/>
        </w:rPr>
        <w:t>3</w:t>
      </w:r>
    </w:p>
    <w:p w14:paraId="0000001E" w14:textId="77777777" w:rsidR="00C85E45" w:rsidRDefault="00000000">
      <w:pPr>
        <w:keepNext/>
        <w:pBdr>
          <w:top w:val="nil"/>
          <w:left w:val="nil"/>
          <w:bottom w:val="nil"/>
          <w:right w:val="nil"/>
          <w:between w:val="nil"/>
        </w:pBdr>
        <w:spacing w:line="240" w:lineRule="auto"/>
        <w:ind w:firstLine="720"/>
        <w:rPr>
          <w:i/>
          <w:color w:val="000000"/>
          <w:sz w:val="20"/>
          <w:szCs w:val="20"/>
        </w:rPr>
      </w:pPr>
      <w:r>
        <w:rPr>
          <w:i/>
          <w:color w:val="000000"/>
          <w:sz w:val="20"/>
          <w:szCs w:val="20"/>
        </w:rPr>
        <w:t>Modelo de procesos de Gobierno de las TI de Cobit 5</w:t>
      </w:r>
    </w:p>
    <w:p w14:paraId="0000001F" w14:textId="77777777" w:rsidR="00C85E45" w:rsidRDefault="00000000">
      <w:pPr>
        <w:jc w:val="center"/>
        <w:rPr>
          <w:sz w:val="20"/>
          <w:szCs w:val="20"/>
        </w:rPr>
      </w:pPr>
      <w:sdt>
        <w:sdtPr>
          <w:tag w:val="goog_rdk_2"/>
          <w:id w:val="966625795"/>
        </w:sdtPr>
        <w:sdtContent>
          <w:commentRangeStart w:id="2"/>
        </w:sdtContent>
      </w:sdt>
      <w:r>
        <w:rPr>
          <w:noProof/>
        </w:rPr>
        <w:drawing>
          <wp:inline distT="0" distB="0" distL="0" distR="0" wp14:anchorId="6EAB7F36" wp14:editId="443C204C">
            <wp:extent cx="5633315" cy="3911392"/>
            <wp:effectExtent l="0" t="0" r="0" b="0"/>
            <wp:docPr id="8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33315" cy="3911392"/>
                    </a:xfrm>
                    <a:prstGeom prst="rect">
                      <a:avLst/>
                    </a:prstGeom>
                    <a:ln/>
                  </pic:spPr>
                </pic:pic>
              </a:graphicData>
            </a:graphic>
          </wp:inline>
        </w:drawing>
      </w:r>
      <w:commentRangeEnd w:id="2"/>
      <w:r>
        <w:commentReference w:id="2"/>
      </w:r>
    </w:p>
    <w:p w14:paraId="00000020" w14:textId="77777777" w:rsidR="00C85E45" w:rsidRDefault="00000000">
      <w:pPr>
        <w:jc w:val="center"/>
        <w:rPr>
          <w:sz w:val="20"/>
          <w:szCs w:val="20"/>
        </w:rPr>
      </w:pPr>
      <w:r>
        <w:rPr>
          <w:sz w:val="20"/>
          <w:szCs w:val="20"/>
        </w:rPr>
        <w:lastRenderedPageBreak/>
        <w:t xml:space="preserve">Nota. Recuperada de </w:t>
      </w:r>
      <w:hyperlink r:id="rId19">
        <w:r>
          <w:rPr>
            <w:color w:val="0563C1"/>
            <w:sz w:val="20"/>
            <w:szCs w:val="20"/>
            <w:u w:val="single"/>
          </w:rPr>
          <w:t>COBIT: DOMINIOS Y PROCESOS DE COBIT (cobitmmatiasc.blogspot.com)</w:t>
        </w:r>
      </w:hyperlink>
    </w:p>
    <w:p w14:paraId="00000021" w14:textId="77777777" w:rsidR="00C85E45" w:rsidRDefault="00C85E45">
      <w:pPr>
        <w:pBdr>
          <w:top w:val="nil"/>
          <w:left w:val="nil"/>
          <w:bottom w:val="nil"/>
          <w:right w:val="nil"/>
          <w:between w:val="nil"/>
        </w:pBdr>
        <w:ind w:left="792"/>
        <w:rPr>
          <w:color w:val="000000"/>
          <w:sz w:val="20"/>
          <w:szCs w:val="20"/>
        </w:rPr>
      </w:pPr>
    </w:p>
    <w:p w14:paraId="00000022" w14:textId="77777777" w:rsidR="00C85E45" w:rsidRDefault="00000000">
      <w:pPr>
        <w:numPr>
          <w:ilvl w:val="0"/>
          <w:numId w:val="4"/>
        </w:numPr>
        <w:pBdr>
          <w:top w:val="nil"/>
          <w:left w:val="nil"/>
          <w:bottom w:val="nil"/>
          <w:right w:val="nil"/>
          <w:between w:val="nil"/>
        </w:pBdr>
        <w:rPr>
          <w:b/>
          <w:color w:val="000000"/>
          <w:sz w:val="20"/>
          <w:szCs w:val="20"/>
        </w:rPr>
      </w:pPr>
      <w:r>
        <w:rPr>
          <w:b/>
          <w:color w:val="000000"/>
          <w:sz w:val="20"/>
          <w:szCs w:val="20"/>
        </w:rPr>
        <w:t>ITIL v4</w:t>
      </w:r>
    </w:p>
    <w:p w14:paraId="00000023" w14:textId="77777777" w:rsidR="00C85E45" w:rsidRDefault="00C85E45">
      <w:pPr>
        <w:jc w:val="both"/>
        <w:rPr>
          <w:sz w:val="20"/>
          <w:szCs w:val="20"/>
        </w:rPr>
      </w:pPr>
    </w:p>
    <w:p w14:paraId="00000024" w14:textId="77777777" w:rsidR="00C85E45" w:rsidRDefault="00000000">
      <w:pPr>
        <w:jc w:val="both"/>
        <w:rPr>
          <w:sz w:val="20"/>
          <w:szCs w:val="20"/>
        </w:rPr>
      </w:pPr>
      <w:r>
        <w:rPr>
          <w:sz w:val="20"/>
          <w:szCs w:val="20"/>
        </w:rPr>
        <w:t xml:space="preserve">ITIL, de sus siglas en inglés </w:t>
      </w:r>
      <w:r>
        <w:rPr>
          <w:i/>
          <w:sz w:val="20"/>
          <w:szCs w:val="20"/>
        </w:rPr>
        <w:t>Information Technology Infrastructure Library</w:t>
      </w:r>
      <w:r>
        <w:rPr>
          <w:sz w:val="20"/>
          <w:szCs w:val="20"/>
        </w:rPr>
        <w:t xml:space="preserve"> (Biblioteca de Infraestructura de Tecnologías de la Información), esta biblioteca incorpora un marco de buenas prácticas para la gestión de los servicios y la tecnología, y se enfoca en mejorar los servicios de T.I. </w:t>
      </w:r>
    </w:p>
    <w:p w14:paraId="00000025" w14:textId="77777777" w:rsidR="00C85E45" w:rsidRDefault="00C85E45">
      <w:pPr>
        <w:jc w:val="both"/>
        <w:rPr>
          <w:sz w:val="20"/>
          <w:szCs w:val="20"/>
        </w:rPr>
      </w:pPr>
    </w:p>
    <w:p w14:paraId="00000026" w14:textId="1EF9A429" w:rsidR="00C85E45" w:rsidRDefault="00000000">
      <w:pPr>
        <w:jc w:val="both"/>
        <w:rPr>
          <w:sz w:val="20"/>
          <w:szCs w:val="20"/>
        </w:rPr>
      </w:pPr>
      <w:r>
        <w:rPr>
          <w:sz w:val="20"/>
          <w:szCs w:val="20"/>
        </w:rPr>
        <w:t xml:space="preserve">Esta librería está basada en 4 dimensiones, con las cuales se busca respaldar de manera holística la gestión de los servicios, como se puede apreciar en la Figura </w:t>
      </w:r>
      <w:r w:rsidR="00054750">
        <w:rPr>
          <w:sz w:val="20"/>
          <w:szCs w:val="20"/>
        </w:rPr>
        <w:t>4</w:t>
      </w:r>
      <w:r>
        <w:rPr>
          <w:sz w:val="20"/>
          <w:szCs w:val="20"/>
        </w:rPr>
        <w:t>.</w:t>
      </w:r>
    </w:p>
    <w:p w14:paraId="00000027" w14:textId="77777777" w:rsidR="00C85E45" w:rsidRDefault="00C85E45">
      <w:pPr>
        <w:keepNext/>
        <w:pBdr>
          <w:top w:val="nil"/>
          <w:left w:val="nil"/>
          <w:bottom w:val="nil"/>
          <w:right w:val="nil"/>
          <w:between w:val="nil"/>
        </w:pBdr>
        <w:spacing w:line="240" w:lineRule="auto"/>
        <w:jc w:val="center"/>
        <w:rPr>
          <w:b/>
          <w:color w:val="000000"/>
          <w:sz w:val="20"/>
          <w:szCs w:val="20"/>
        </w:rPr>
      </w:pPr>
    </w:p>
    <w:p w14:paraId="00000028" w14:textId="1AF86C06" w:rsidR="00C85E45" w:rsidRDefault="00000000">
      <w:pPr>
        <w:keepNext/>
        <w:pBdr>
          <w:top w:val="nil"/>
          <w:left w:val="nil"/>
          <w:bottom w:val="nil"/>
          <w:right w:val="nil"/>
          <w:between w:val="nil"/>
        </w:pBdr>
        <w:spacing w:line="240" w:lineRule="auto"/>
        <w:rPr>
          <w:b/>
          <w:color w:val="000000"/>
          <w:sz w:val="20"/>
          <w:szCs w:val="20"/>
        </w:rPr>
      </w:pPr>
      <w:r>
        <w:rPr>
          <w:b/>
          <w:color w:val="000000"/>
          <w:sz w:val="20"/>
          <w:szCs w:val="20"/>
        </w:rPr>
        <w:t xml:space="preserve">Figura </w:t>
      </w:r>
      <w:r w:rsidR="00054750">
        <w:rPr>
          <w:b/>
          <w:color w:val="000000"/>
          <w:sz w:val="20"/>
          <w:szCs w:val="20"/>
        </w:rPr>
        <w:t>4</w:t>
      </w:r>
    </w:p>
    <w:p w14:paraId="00000029" w14:textId="77777777" w:rsidR="00C85E45" w:rsidRDefault="00000000">
      <w:pPr>
        <w:keepNext/>
        <w:pBdr>
          <w:top w:val="nil"/>
          <w:left w:val="nil"/>
          <w:bottom w:val="nil"/>
          <w:right w:val="nil"/>
          <w:between w:val="nil"/>
        </w:pBdr>
        <w:spacing w:line="240" w:lineRule="auto"/>
        <w:rPr>
          <w:i/>
          <w:color w:val="000000"/>
          <w:sz w:val="20"/>
          <w:szCs w:val="20"/>
        </w:rPr>
      </w:pPr>
      <w:r>
        <w:rPr>
          <w:i/>
          <w:color w:val="000000"/>
          <w:sz w:val="20"/>
          <w:szCs w:val="20"/>
        </w:rPr>
        <w:t>Dimensiones de ITIL v4</w:t>
      </w:r>
    </w:p>
    <w:p w14:paraId="0000002A" w14:textId="77777777" w:rsidR="00C85E45" w:rsidRDefault="00000000">
      <w:pPr>
        <w:pBdr>
          <w:top w:val="nil"/>
          <w:left w:val="nil"/>
          <w:bottom w:val="nil"/>
          <w:right w:val="nil"/>
          <w:between w:val="nil"/>
        </w:pBdr>
        <w:ind w:left="792"/>
        <w:jc w:val="center"/>
        <w:rPr>
          <w:color w:val="000000"/>
          <w:sz w:val="20"/>
          <w:szCs w:val="20"/>
        </w:rPr>
      </w:pPr>
      <w:sdt>
        <w:sdtPr>
          <w:tag w:val="goog_rdk_3"/>
          <w:id w:val="309299846"/>
        </w:sdtPr>
        <w:sdtContent>
          <w:commentRangeStart w:id="3"/>
        </w:sdtContent>
      </w:sdt>
      <w:r>
        <w:rPr>
          <w:noProof/>
          <w:color w:val="000000"/>
          <w:sz w:val="20"/>
          <w:szCs w:val="20"/>
        </w:rPr>
        <w:drawing>
          <wp:inline distT="0" distB="0" distL="0" distR="0" wp14:anchorId="51AFC9D1" wp14:editId="5FDE3855">
            <wp:extent cx="4021328" cy="3199259"/>
            <wp:effectExtent l="0" t="0" r="0" b="0"/>
            <wp:docPr id="8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21328" cy="3199259"/>
                    </a:xfrm>
                    <a:prstGeom prst="rect">
                      <a:avLst/>
                    </a:prstGeom>
                    <a:ln/>
                  </pic:spPr>
                </pic:pic>
              </a:graphicData>
            </a:graphic>
          </wp:inline>
        </w:drawing>
      </w:r>
      <w:commentRangeEnd w:id="3"/>
      <w:r>
        <w:commentReference w:id="3"/>
      </w:r>
    </w:p>
    <w:p w14:paraId="0000002B" w14:textId="77777777" w:rsidR="00C85E45" w:rsidRDefault="00000000">
      <w:pPr>
        <w:jc w:val="center"/>
        <w:rPr>
          <w:sz w:val="20"/>
          <w:szCs w:val="20"/>
        </w:rPr>
      </w:pPr>
      <w:r>
        <w:rPr>
          <w:sz w:val="20"/>
          <w:szCs w:val="20"/>
        </w:rPr>
        <w:t xml:space="preserve">Nota. Recuperada de </w:t>
      </w:r>
      <w:hyperlink r:id="rId21">
        <w:r>
          <w:rPr>
            <w:color w:val="0563C1"/>
            <w:sz w:val="20"/>
            <w:szCs w:val="20"/>
            <w:u w:val="single"/>
          </w:rPr>
          <w:t xml:space="preserve">La Gestión de Servicios e </w:t>
        </w:r>
      </w:hyperlink>
      <w:hyperlink r:id="rId22">
        <w:r>
          <w:rPr>
            <w:color w:val="0563C1"/>
            <w:sz w:val="20"/>
            <w:szCs w:val="20"/>
            <w:u w:val="single"/>
          </w:rPr>
          <w:t>ITIL4</w:t>
        </w:r>
      </w:hyperlink>
      <w:hyperlink r:id="rId23">
        <w:r>
          <w:rPr>
            <w:color w:val="0563C1"/>
            <w:sz w:val="20"/>
            <w:szCs w:val="20"/>
            <w:u w:val="single"/>
          </w:rPr>
          <w:t xml:space="preserve"> - Opcion Tecnologica</w:t>
        </w:r>
      </w:hyperlink>
    </w:p>
    <w:p w14:paraId="0000002C" w14:textId="77777777" w:rsidR="00C85E45" w:rsidRDefault="00C85E45">
      <w:pPr>
        <w:pBdr>
          <w:top w:val="nil"/>
          <w:left w:val="nil"/>
          <w:bottom w:val="nil"/>
          <w:right w:val="nil"/>
          <w:between w:val="nil"/>
        </w:pBdr>
        <w:ind w:left="792"/>
        <w:rPr>
          <w:color w:val="000000"/>
          <w:sz w:val="20"/>
          <w:szCs w:val="20"/>
        </w:rPr>
      </w:pPr>
    </w:p>
    <w:p w14:paraId="0000002D" w14:textId="306A5B13" w:rsidR="00C85E45" w:rsidRDefault="00000000">
      <w:pPr>
        <w:numPr>
          <w:ilvl w:val="0"/>
          <w:numId w:val="8"/>
        </w:numPr>
        <w:pBdr>
          <w:top w:val="nil"/>
          <w:left w:val="nil"/>
          <w:bottom w:val="nil"/>
          <w:right w:val="nil"/>
          <w:between w:val="nil"/>
        </w:pBdr>
        <w:rPr>
          <w:color w:val="000000"/>
          <w:sz w:val="20"/>
          <w:szCs w:val="20"/>
        </w:rPr>
      </w:pPr>
      <w:r>
        <w:rPr>
          <w:b/>
          <w:color w:val="000000"/>
          <w:sz w:val="20"/>
          <w:szCs w:val="20"/>
        </w:rPr>
        <w:t>1. Organización y personas</w:t>
      </w:r>
      <w:r>
        <w:rPr>
          <w:color w:val="000000"/>
          <w:sz w:val="20"/>
          <w:szCs w:val="20"/>
        </w:rPr>
        <w:t xml:space="preserve">: </w:t>
      </w:r>
      <w:r w:rsidR="00EF58C1">
        <w:rPr>
          <w:color w:val="000000"/>
          <w:sz w:val="20"/>
          <w:szCs w:val="20"/>
        </w:rPr>
        <w:t>e</w:t>
      </w:r>
      <w:r>
        <w:rPr>
          <w:color w:val="000000"/>
          <w:sz w:val="20"/>
          <w:szCs w:val="20"/>
        </w:rPr>
        <w:t>n la cual se orienta sobre la adopción de una cultura saludable, que respalde los objetivos desde las capacidades de talento humano, por lo que sugiere:</w:t>
      </w:r>
    </w:p>
    <w:p w14:paraId="0000002E" w14:textId="77777777" w:rsidR="00C85E45" w:rsidRDefault="00C85E45">
      <w:pPr>
        <w:pBdr>
          <w:top w:val="nil"/>
          <w:left w:val="nil"/>
          <w:bottom w:val="nil"/>
          <w:right w:val="nil"/>
          <w:between w:val="nil"/>
        </w:pBdr>
        <w:ind w:left="1512"/>
        <w:rPr>
          <w:color w:val="000000"/>
          <w:sz w:val="20"/>
          <w:szCs w:val="20"/>
        </w:rPr>
      </w:pPr>
    </w:p>
    <w:p w14:paraId="0000002F" w14:textId="77777777" w:rsidR="00C85E45" w:rsidRDefault="00000000">
      <w:pPr>
        <w:numPr>
          <w:ilvl w:val="1"/>
          <w:numId w:val="8"/>
        </w:numPr>
        <w:pBdr>
          <w:top w:val="nil"/>
          <w:left w:val="nil"/>
          <w:bottom w:val="nil"/>
          <w:right w:val="nil"/>
          <w:between w:val="nil"/>
        </w:pBdr>
        <w:rPr>
          <w:color w:val="000000"/>
          <w:sz w:val="20"/>
          <w:szCs w:val="20"/>
        </w:rPr>
      </w:pPr>
      <w:r>
        <w:rPr>
          <w:color w:val="000000"/>
          <w:sz w:val="20"/>
          <w:szCs w:val="20"/>
        </w:rPr>
        <w:t>Adoptar de guías de ITIL v4.</w:t>
      </w:r>
    </w:p>
    <w:p w14:paraId="00000030" w14:textId="77777777" w:rsidR="00C85E45" w:rsidRDefault="00000000">
      <w:pPr>
        <w:numPr>
          <w:ilvl w:val="1"/>
          <w:numId w:val="8"/>
        </w:numPr>
        <w:pBdr>
          <w:top w:val="nil"/>
          <w:left w:val="nil"/>
          <w:bottom w:val="nil"/>
          <w:right w:val="nil"/>
          <w:between w:val="nil"/>
        </w:pBdr>
        <w:rPr>
          <w:color w:val="000000"/>
          <w:sz w:val="20"/>
          <w:szCs w:val="20"/>
        </w:rPr>
      </w:pPr>
      <w:r>
        <w:rPr>
          <w:color w:val="000000"/>
          <w:sz w:val="20"/>
          <w:szCs w:val="20"/>
        </w:rPr>
        <w:t>Velar porque el talento humano relacionado con el servicio se alinee con la cultura y objetivos de la organización.</w:t>
      </w:r>
    </w:p>
    <w:p w14:paraId="00000031" w14:textId="77777777" w:rsidR="00C85E45" w:rsidRDefault="00C85E45">
      <w:pPr>
        <w:pBdr>
          <w:top w:val="nil"/>
          <w:left w:val="nil"/>
          <w:bottom w:val="nil"/>
          <w:right w:val="nil"/>
          <w:between w:val="nil"/>
        </w:pBdr>
        <w:ind w:left="1512"/>
        <w:rPr>
          <w:color w:val="000000"/>
          <w:sz w:val="20"/>
          <w:szCs w:val="20"/>
        </w:rPr>
      </w:pPr>
    </w:p>
    <w:p w14:paraId="00000032" w14:textId="7B34B633" w:rsidR="00C85E45" w:rsidRDefault="00000000">
      <w:pPr>
        <w:numPr>
          <w:ilvl w:val="0"/>
          <w:numId w:val="8"/>
        </w:numPr>
        <w:pBdr>
          <w:top w:val="nil"/>
          <w:left w:val="nil"/>
          <w:bottom w:val="nil"/>
          <w:right w:val="nil"/>
          <w:between w:val="nil"/>
        </w:pBdr>
        <w:rPr>
          <w:color w:val="000000"/>
          <w:sz w:val="20"/>
          <w:szCs w:val="20"/>
        </w:rPr>
      </w:pPr>
      <w:r>
        <w:rPr>
          <w:b/>
          <w:color w:val="000000"/>
          <w:sz w:val="20"/>
          <w:szCs w:val="20"/>
        </w:rPr>
        <w:t>2. Información y tecnología</w:t>
      </w:r>
      <w:r>
        <w:rPr>
          <w:color w:val="000000"/>
          <w:sz w:val="20"/>
          <w:szCs w:val="20"/>
        </w:rPr>
        <w:t xml:space="preserve">: </w:t>
      </w:r>
      <w:r w:rsidR="00EF58C1">
        <w:rPr>
          <w:color w:val="000000"/>
          <w:sz w:val="20"/>
          <w:szCs w:val="20"/>
        </w:rPr>
        <w:t>n</w:t>
      </w:r>
      <w:r>
        <w:rPr>
          <w:color w:val="000000"/>
          <w:sz w:val="20"/>
          <w:szCs w:val="20"/>
        </w:rPr>
        <w:t>os orienta sobre la importancia de gestionar el conocimiento a lo largo del tiempo, para lo cual no direcciona a la gestión de las tecnologías como apoyo.</w:t>
      </w:r>
    </w:p>
    <w:p w14:paraId="00000033" w14:textId="77777777" w:rsidR="00C85E45" w:rsidRDefault="00C85E45">
      <w:pPr>
        <w:pBdr>
          <w:top w:val="nil"/>
          <w:left w:val="nil"/>
          <w:bottom w:val="nil"/>
          <w:right w:val="nil"/>
          <w:between w:val="nil"/>
        </w:pBdr>
        <w:ind w:left="1512"/>
        <w:rPr>
          <w:color w:val="000000"/>
          <w:sz w:val="20"/>
          <w:szCs w:val="20"/>
        </w:rPr>
      </w:pPr>
    </w:p>
    <w:p w14:paraId="00000034" w14:textId="303EBB9D" w:rsidR="00C85E45" w:rsidRDefault="00000000">
      <w:pPr>
        <w:numPr>
          <w:ilvl w:val="0"/>
          <w:numId w:val="8"/>
        </w:numPr>
        <w:pBdr>
          <w:top w:val="nil"/>
          <w:left w:val="nil"/>
          <w:bottom w:val="nil"/>
          <w:right w:val="nil"/>
          <w:between w:val="nil"/>
        </w:pBdr>
        <w:rPr>
          <w:color w:val="000000"/>
          <w:sz w:val="20"/>
          <w:szCs w:val="20"/>
        </w:rPr>
      </w:pPr>
      <w:r>
        <w:rPr>
          <w:b/>
          <w:color w:val="000000"/>
          <w:sz w:val="20"/>
          <w:szCs w:val="20"/>
        </w:rPr>
        <w:t>3. Socios &amp; proveedores</w:t>
      </w:r>
      <w:r>
        <w:rPr>
          <w:color w:val="000000"/>
          <w:sz w:val="20"/>
          <w:szCs w:val="20"/>
        </w:rPr>
        <w:t xml:space="preserve">: </w:t>
      </w:r>
      <w:r w:rsidR="00EF58C1">
        <w:rPr>
          <w:color w:val="000000"/>
          <w:sz w:val="20"/>
          <w:szCs w:val="20"/>
        </w:rPr>
        <w:t>s</w:t>
      </w:r>
      <w:r>
        <w:rPr>
          <w:color w:val="000000"/>
          <w:sz w:val="20"/>
          <w:szCs w:val="20"/>
        </w:rPr>
        <w:t>ugiere que los socios y los proveedores estén alineados con la visión, la cultura y los objetivos de la organización.</w:t>
      </w:r>
    </w:p>
    <w:p w14:paraId="00000035" w14:textId="77777777" w:rsidR="00C85E45" w:rsidRDefault="00C85E45">
      <w:pPr>
        <w:pBdr>
          <w:top w:val="nil"/>
          <w:left w:val="nil"/>
          <w:bottom w:val="nil"/>
          <w:right w:val="nil"/>
          <w:between w:val="nil"/>
        </w:pBdr>
        <w:ind w:left="1512"/>
        <w:rPr>
          <w:color w:val="000000"/>
          <w:sz w:val="20"/>
          <w:szCs w:val="20"/>
        </w:rPr>
      </w:pPr>
    </w:p>
    <w:p w14:paraId="00000036" w14:textId="71B03DE4" w:rsidR="00C85E45" w:rsidRDefault="00000000">
      <w:pPr>
        <w:numPr>
          <w:ilvl w:val="0"/>
          <w:numId w:val="8"/>
        </w:numPr>
        <w:pBdr>
          <w:top w:val="nil"/>
          <w:left w:val="nil"/>
          <w:bottom w:val="nil"/>
          <w:right w:val="nil"/>
          <w:between w:val="nil"/>
        </w:pBdr>
        <w:rPr>
          <w:color w:val="000000"/>
          <w:sz w:val="20"/>
          <w:szCs w:val="20"/>
        </w:rPr>
      </w:pPr>
      <w:r>
        <w:rPr>
          <w:b/>
          <w:color w:val="000000"/>
          <w:sz w:val="20"/>
          <w:szCs w:val="20"/>
        </w:rPr>
        <w:lastRenderedPageBreak/>
        <w:t>4. Flujos de valores &amp; procesos</w:t>
      </w:r>
      <w:r>
        <w:rPr>
          <w:color w:val="000000"/>
          <w:sz w:val="20"/>
          <w:szCs w:val="20"/>
        </w:rPr>
        <w:t xml:space="preserve">: </w:t>
      </w:r>
      <w:r w:rsidR="00EF58C1">
        <w:rPr>
          <w:color w:val="000000"/>
          <w:sz w:val="20"/>
          <w:szCs w:val="20"/>
        </w:rPr>
        <w:t>d</w:t>
      </w:r>
      <w:r>
        <w:rPr>
          <w:color w:val="000000"/>
          <w:sz w:val="20"/>
          <w:szCs w:val="20"/>
        </w:rPr>
        <w:t>efine los flujos de valor y los procesos para alcanzar los objetivos.</w:t>
      </w:r>
    </w:p>
    <w:p w14:paraId="00000037" w14:textId="77777777" w:rsidR="00C85E45" w:rsidRDefault="00C85E45">
      <w:pPr>
        <w:pBdr>
          <w:top w:val="nil"/>
          <w:left w:val="nil"/>
          <w:bottom w:val="nil"/>
          <w:right w:val="nil"/>
          <w:between w:val="nil"/>
        </w:pBdr>
        <w:ind w:left="792"/>
        <w:rPr>
          <w:color w:val="000000"/>
          <w:sz w:val="20"/>
          <w:szCs w:val="20"/>
        </w:rPr>
      </w:pPr>
    </w:p>
    <w:p w14:paraId="00000038" w14:textId="5112CC9B" w:rsidR="00C85E45" w:rsidRDefault="00000000">
      <w:pPr>
        <w:rPr>
          <w:sz w:val="20"/>
          <w:szCs w:val="20"/>
        </w:rPr>
      </w:pPr>
      <w:r>
        <w:rPr>
          <w:b/>
          <w:sz w:val="20"/>
          <w:szCs w:val="20"/>
        </w:rPr>
        <w:t>ITIL v4</w:t>
      </w:r>
      <w:r>
        <w:rPr>
          <w:sz w:val="20"/>
          <w:szCs w:val="20"/>
        </w:rPr>
        <w:t xml:space="preserve"> se basa en 5 principios con los cuales se busca orientar las capacidades de gestión y operación de la organización, como se puede apreciar en la Figura </w:t>
      </w:r>
      <w:r w:rsidR="00054750">
        <w:rPr>
          <w:sz w:val="20"/>
          <w:szCs w:val="20"/>
        </w:rPr>
        <w:t>5</w:t>
      </w:r>
      <w:r>
        <w:rPr>
          <w:sz w:val="20"/>
          <w:szCs w:val="20"/>
        </w:rPr>
        <w:t>.</w:t>
      </w:r>
    </w:p>
    <w:p w14:paraId="00000039" w14:textId="77777777" w:rsidR="00C85E45" w:rsidRDefault="00C85E45">
      <w:pPr>
        <w:keepNext/>
        <w:pBdr>
          <w:top w:val="nil"/>
          <w:left w:val="nil"/>
          <w:bottom w:val="nil"/>
          <w:right w:val="nil"/>
          <w:between w:val="nil"/>
        </w:pBdr>
        <w:spacing w:line="240" w:lineRule="auto"/>
        <w:rPr>
          <w:b/>
          <w:color w:val="000000"/>
          <w:sz w:val="20"/>
          <w:szCs w:val="20"/>
        </w:rPr>
      </w:pPr>
    </w:p>
    <w:p w14:paraId="0000003A" w14:textId="39B76312" w:rsidR="00C85E45" w:rsidRDefault="00000000">
      <w:pPr>
        <w:keepNext/>
        <w:pBdr>
          <w:top w:val="nil"/>
          <w:left w:val="nil"/>
          <w:bottom w:val="nil"/>
          <w:right w:val="nil"/>
          <w:between w:val="nil"/>
        </w:pBdr>
        <w:spacing w:line="240" w:lineRule="auto"/>
        <w:rPr>
          <w:b/>
          <w:color w:val="000000"/>
          <w:sz w:val="20"/>
          <w:szCs w:val="20"/>
        </w:rPr>
      </w:pPr>
      <w:r>
        <w:rPr>
          <w:b/>
          <w:color w:val="000000"/>
          <w:sz w:val="20"/>
          <w:szCs w:val="20"/>
        </w:rPr>
        <w:t xml:space="preserve">Figura </w:t>
      </w:r>
      <w:r w:rsidR="00054750">
        <w:rPr>
          <w:b/>
          <w:color w:val="000000"/>
          <w:sz w:val="20"/>
          <w:szCs w:val="20"/>
        </w:rPr>
        <w:t>5</w:t>
      </w:r>
    </w:p>
    <w:p w14:paraId="0000003B" w14:textId="77777777" w:rsidR="00C85E45" w:rsidRDefault="00000000">
      <w:pPr>
        <w:keepNext/>
        <w:pBdr>
          <w:top w:val="nil"/>
          <w:left w:val="nil"/>
          <w:bottom w:val="nil"/>
          <w:right w:val="nil"/>
          <w:between w:val="nil"/>
        </w:pBdr>
        <w:spacing w:line="240" w:lineRule="auto"/>
        <w:rPr>
          <w:i/>
          <w:color w:val="000000"/>
          <w:sz w:val="20"/>
          <w:szCs w:val="20"/>
        </w:rPr>
      </w:pPr>
      <w:r>
        <w:rPr>
          <w:i/>
          <w:color w:val="000000"/>
          <w:sz w:val="20"/>
          <w:szCs w:val="20"/>
        </w:rPr>
        <w:t>Principios de ITIL v4</w:t>
      </w:r>
    </w:p>
    <w:p w14:paraId="0000003C" w14:textId="77777777" w:rsidR="00C85E45" w:rsidRDefault="00C85E45">
      <w:pPr>
        <w:jc w:val="center"/>
      </w:pPr>
    </w:p>
    <w:p w14:paraId="0000003D" w14:textId="77777777" w:rsidR="00C85E45" w:rsidRDefault="00000000">
      <w:sdt>
        <w:sdtPr>
          <w:tag w:val="goog_rdk_4"/>
          <w:id w:val="899248934"/>
        </w:sdtPr>
        <w:sdtContent>
          <w:commentRangeStart w:id="4"/>
        </w:sdtContent>
      </w:sdt>
      <w:r>
        <w:rPr>
          <w:noProof/>
        </w:rPr>
        <mc:AlternateContent>
          <mc:Choice Requires="wpg">
            <w:drawing>
              <wp:inline distT="0" distB="0" distL="0" distR="0" wp14:anchorId="6B23F3D0" wp14:editId="5D4D51B8">
                <wp:extent cx="4991100" cy="2996565"/>
                <wp:effectExtent l="0" t="0" r="0" b="0"/>
                <wp:docPr id="82" name="Grupo 82"/>
                <wp:cNvGraphicFramePr/>
                <a:graphic xmlns:a="http://schemas.openxmlformats.org/drawingml/2006/main">
                  <a:graphicData uri="http://schemas.microsoft.com/office/word/2010/wordprocessingGroup">
                    <wpg:wgp>
                      <wpg:cNvGrpSpPr/>
                      <wpg:grpSpPr>
                        <a:xfrm>
                          <a:off x="0" y="0"/>
                          <a:ext cx="4991100" cy="2996565"/>
                          <a:chOff x="2850450" y="2281718"/>
                          <a:chExt cx="4991099" cy="2996559"/>
                        </a:xfrm>
                      </wpg:grpSpPr>
                      <wpg:grpSp>
                        <wpg:cNvPr id="1884472484" name="Grupo 1884472484"/>
                        <wpg:cNvGrpSpPr/>
                        <wpg:grpSpPr>
                          <a:xfrm>
                            <a:off x="2850450" y="2281718"/>
                            <a:ext cx="4991099" cy="2996559"/>
                            <a:chOff x="0" y="0"/>
                            <a:chExt cx="9691225" cy="5920850"/>
                          </a:xfrm>
                        </wpg:grpSpPr>
                        <wps:wsp>
                          <wps:cNvPr id="1421549962" name="Rectángulo 1421549962"/>
                          <wps:cNvSpPr/>
                          <wps:spPr>
                            <a:xfrm>
                              <a:off x="0" y="0"/>
                              <a:ext cx="9691225" cy="5920850"/>
                            </a:xfrm>
                            <a:prstGeom prst="rect">
                              <a:avLst/>
                            </a:prstGeom>
                            <a:noFill/>
                            <a:ln>
                              <a:noFill/>
                            </a:ln>
                          </wps:spPr>
                          <wps:txbx>
                            <w:txbxContent>
                              <w:p w14:paraId="3F75DF48" w14:textId="77777777" w:rsidR="00C85E45" w:rsidRDefault="00C85E45">
                                <w:pPr>
                                  <w:spacing w:line="240" w:lineRule="auto"/>
                                  <w:textDirection w:val="btLr"/>
                                </w:pPr>
                              </w:p>
                            </w:txbxContent>
                          </wps:txbx>
                          <wps:bodyPr spcFirstLastPara="1" wrap="square" lIns="91425" tIns="91425" rIns="91425" bIns="91425" anchor="ctr" anchorCtr="0">
                            <a:noAutofit/>
                          </wps:bodyPr>
                        </wps:wsp>
                        <wps:wsp>
                          <wps:cNvPr id="125626337" name="Rectángulo 125626337"/>
                          <wps:cNvSpPr/>
                          <wps:spPr>
                            <a:xfrm>
                              <a:off x="0" y="645845"/>
                              <a:ext cx="3444240" cy="2837180"/>
                            </a:xfrm>
                            <a:prstGeom prst="rect">
                              <a:avLst/>
                            </a:prstGeom>
                            <a:noFill/>
                            <a:ln>
                              <a:noFill/>
                            </a:ln>
                          </wps:spPr>
                          <wps:txbx>
                            <w:txbxContent>
                              <w:p w14:paraId="00E69939" w14:textId="77777777" w:rsidR="00C85E45" w:rsidRDefault="00000000">
                                <w:pPr>
                                  <w:spacing w:line="275" w:lineRule="auto"/>
                                  <w:textDirection w:val="btLr"/>
                                </w:pPr>
                                <w:r>
                                  <w:rPr>
                                    <w:rFonts w:ascii="Calibri" w:eastAsia="Calibri" w:hAnsi="Calibri" w:cs="Calibri"/>
                                    <w:b/>
                                    <w:color w:val="000000"/>
                                    <w:sz w:val="108"/>
                                  </w:rPr>
                                  <w:t>ITIL 4</w:t>
                                </w:r>
                              </w:p>
                              <w:p w14:paraId="2990C925" w14:textId="77777777" w:rsidR="00C85E45" w:rsidRDefault="00000000">
                                <w:pPr>
                                  <w:spacing w:line="275" w:lineRule="auto"/>
                                  <w:textDirection w:val="btLr"/>
                                </w:pPr>
                                <w:r>
                                  <w:rPr>
                                    <w:rFonts w:ascii="Calibri" w:eastAsia="Calibri" w:hAnsi="Calibri" w:cs="Calibri"/>
                                    <w:b/>
                                    <w:color w:val="000000"/>
                                    <w:sz w:val="40"/>
                                  </w:rPr>
                                  <w:t>Principios Guía</w:t>
                                </w:r>
                              </w:p>
                              <w:p w14:paraId="32815514" w14:textId="77777777" w:rsidR="00C85E45" w:rsidRDefault="00000000">
                                <w:pPr>
                                  <w:spacing w:line="275" w:lineRule="auto"/>
                                  <w:textDirection w:val="btLr"/>
                                </w:pPr>
                                <w:r>
                                  <w:rPr>
                                    <w:rFonts w:ascii="Calibri" w:eastAsia="Calibri" w:hAnsi="Calibri" w:cs="Calibri"/>
                                    <w:color w:val="000000"/>
                                    <w:sz w:val="40"/>
                                  </w:rPr>
                                  <w:t>Son una recomendación o guía para orientar las capacidades de gestión y operación de la organización</w:t>
                                </w:r>
                              </w:p>
                            </w:txbxContent>
                          </wps:txbx>
                          <wps:bodyPr spcFirstLastPara="1" wrap="square" lIns="91425" tIns="45700" rIns="91425" bIns="45700" anchor="t" anchorCtr="0">
                            <a:noAutofit/>
                          </wps:bodyPr>
                        </wps:wsp>
                      </wpg:grpSp>
                    </wpg:wgp>
                  </a:graphicData>
                </a:graphic>
              </wp:inline>
            </w:drawing>
          </mc:Choice>
          <mc:Fallback>
            <w:pict>
              <v:group w14:anchorId="6B23F3D0" id="Grupo 82" o:spid="_x0000_s1026" style="width:393pt;height:235.95pt;mso-position-horizontal-relative:char;mso-position-vertical-relative:line" coordorigin="28504,22817" coordsize="49910,29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">
                <v:group id="Grupo 1884472484" o:spid="_x0000_s1027" style="position:absolute;left:28504;top:22817;width:49911;height:29965" coordsize="96912,5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">
                  <v:rect id="Rectángulo 1421549962" o:spid="_x0000_s1028" style="position:absolute;width:96912;height:59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" filled="f" stroked="f">
                    <v:textbox inset="2.53958mm,2.53958mm,2.53958mm,2.53958mm">
                      <w:txbxContent>
                        <w:p w14:paraId="3F75DF48" w14:textId="77777777" w:rsidR="00C85E45" w:rsidRDefault="00C85E45">
                          <w:pPr>
                            <w:spacing w:line="240" w:lineRule="auto"/>
                            <w:textDirection w:val="btLr"/>
                          </w:pPr>
                        </w:p>
                      </w:txbxContent>
                    </v:textbox>
                  </v:rect>
                  <v:rect id="Rectángulo 125626337" o:spid="_x0000_s1029" style="position:absolute;top:6458;width:34442;height:28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" filled="f" stroked="f">
                    <v:textbox inset="2.53958mm,1.2694mm,2.53958mm,1.2694mm">
                      <w:txbxContent>
                        <w:p w14:paraId="00E69939" w14:textId="77777777" w:rsidR="00C85E45" w:rsidRDefault="00000000">
                          <w:pPr>
                            <w:spacing w:line="275" w:lineRule="auto"/>
                            <w:textDirection w:val="btLr"/>
                          </w:pPr>
                          <w:r>
                            <w:rPr>
                              <w:rFonts w:ascii="Calibri" w:eastAsia="Calibri" w:hAnsi="Calibri" w:cs="Calibri"/>
                              <w:b/>
                              <w:color w:val="000000"/>
                              <w:sz w:val="108"/>
                            </w:rPr>
                            <w:t>ITIL 4</w:t>
                          </w:r>
                        </w:p>
                        <w:p w14:paraId="2990C925" w14:textId="77777777" w:rsidR="00C85E45" w:rsidRDefault="00000000">
                          <w:pPr>
                            <w:spacing w:line="275" w:lineRule="auto"/>
                            <w:textDirection w:val="btLr"/>
                          </w:pPr>
                          <w:r>
                            <w:rPr>
                              <w:rFonts w:ascii="Calibri" w:eastAsia="Calibri" w:hAnsi="Calibri" w:cs="Calibri"/>
                              <w:b/>
                              <w:color w:val="000000"/>
                              <w:sz w:val="40"/>
                            </w:rPr>
                            <w:t>Principios Guía</w:t>
                          </w:r>
                        </w:p>
                        <w:p w14:paraId="32815514" w14:textId="77777777" w:rsidR="00C85E45" w:rsidRDefault="00000000">
                          <w:pPr>
                            <w:spacing w:line="275" w:lineRule="auto"/>
                            <w:textDirection w:val="btLr"/>
                          </w:pPr>
                          <w:r>
                            <w:rPr>
                              <w:rFonts w:ascii="Calibri" w:eastAsia="Calibri" w:hAnsi="Calibri" w:cs="Calibri"/>
                              <w:color w:val="000000"/>
                              <w:sz w:val="40"/>
                            </w:rPr>
                            <w:t>Son una recomendación o guía para orientar las capacidades de gestión y operación de la organización</w:t>
                          </w:r>
                        </w:p>
                      </w:txbxContent>
                    </v:textbox>
                  </v:rect>
                </v:group>
                <w10:anchorlock/>
              </v:group>
            </w:pict>
          </mc:Fallback>
        </mc:AlternateContent>
      </w:r>
      <w:commentRangeEnd w:id="4"/>
      <w:r>
        <w:commentReference w:id="4"/>
      </w:r>
    </w:p>
    <w:p w14:paraId="0000003E" w14:textId="77777777" w:rsidR="00C85E45" w:rsidRDefault="00C85E45">
      <w:pPr>
        <w:jc w:val="center"/>
      </w:pPr>
    </w:p>
    <w:p w14:paraId="0000003F" w14:textId="77777777" w:rsidR="00C85E45" w:rsidRDefault="00C85E45">
      <w:pPr>
        <w:jc w:val="center"/>
        <w:rPr>
          <w:sz w:val="20"/>
          <w:szCs w:val="20"/>
        </w:rPr>
      </w:pPr>
    </w:p>
    <w:p w14:paraId="00000040" w14:textId="77777777" w:rsidR="00C85E45" w:rsidRDefault="00000000">
      <w:pPr>
        <w:pBdr>
          <w:top w:val="nil"/>
          <w:left w:val="nil"/>
          <w:bottom w:val="nil"/>
          <w:right w:val="nil"/>
          <w:between w:val="nil"/>
        </w:pBdr>
        <w:ind w:left="792"/>
        <w:rPr>
          <w:color w:val="000000"/>
          <w:sz w:val="20"/>
          <w:szCs w:val="20"/>
        </w:rPr>
      </w:pPr>
      <w:r>
        <w:rPr>
          <w:color w:val="000000"/>
          <w:sz w:val="20"/>
          <w:szCs w:val="20"/>
        </w:rPr>
        <w:t xml:space="preserve">Nota. Recuperada de </w:t>
      </w:r>
      <w:hyperlink r:id="rId24">
        <w:r>
          <w:rPr>
            <w:color w:val="0563C1"/>
            <w:sz w:val="20"/>
            <w:szCs w:val="20"/>
            <w:u w:val="single"/>
          </w:rPr>
          <w:t xml:space="preserve">PRINCIPIOS </w:t>
        </w:r>
      </w:hyperlink>
      <w:hyperlink r:id="rId25">
        <w:r>
          <w:rPr>
            <w:color w:val="0563C1"/>
            <w:sz w:val="20"/>
            <w:szCs w:val="20"/>
            <w:u w:val="single"/>
          </w:rPr>
          <w:t>ITIL4</w:t>
        </w:r>
      </w:hyperlink>
      <w:hyperlink r:id="rId26">
        <w:r>
          <w:rPr>
            <w:color w:val="0563C1"/>
            <w:sz w:val="20"/>
            <w:szCs w:val="20"/>
            <w:u w:val="single"/>
          </w:rPr>
          <w:t xml:space="preserve"> – </w:t>
        </w:r>
      </w:hyperlink>
      <w:hyperlink r:id="rId27">
        <w:r>
          <w:rPr>
            <w:color w:val="0563C1"/>
            <w:sz w:val="20"/>
            <w:szCs w:val="20"/>
            <w:u w:val="single"/>
          </w:rPr>
          <w:t>BPGurus</w:t>
        </w:r>
      </w:hyperlink>
    </w:p>
    <w:p w14:paraId="00000041" w14:textId="77777777" w:rsidR="00C85E45" w:rsidRDefault="00C85E45">
      <w:pPr>
        <w:pBdr>
          <w:top w:val="nil"/>
          <w:left w:val="nil"/>
          <w:bottom w:val="nil"/>
          <w:right w:val="nil"/>
          <w:between w:val="nil"/>
        </w:pBdr>
        <w:ind w:left="792"/>
        <w:rPr>
          <w:color w:val="000000"/>
          <w:sz w:val="20"/>
          <w:szCs w:val="20"/>
        </w:rPr>
      </w:pPr>
    </w:p>
    <w:p w14:paraId="00000042" w14:textId="301E5ECA" w:rsidR="00C85E45" w:rsidRDefault="00000000">
      <w:pPr>
        <w:pBdr>
          <w:top w:val="nil"/>
          <w:left w:val="nil"/>
          <w:bottom w:val="nil"/>
          <w:right w:val="nil"/>
          <w:between w:val="nil"/>
        </w:pBdr>
        <w:ind w:left="792"/>
        <w:rPr>
          <w:color w:val="000000"/>
          <w:sz w:val="20"/>
          <w:szCs w:val="20"/>
        </w:rPr>
      </w:pPr>
      <w:r>
        <w:rPr>
          <w:color w:val="000000"/>
          <w:sz w:val="20"/>
          <w:szCs w:val="20"/>
        </w:rPr>
        <w:t xml:space="preserve">Además, cuenta con 34 prácticas, como se puede apreciar en la Figura </w:t>
      </w:r>
      <w:r w:rsidR="00EF58C1">
        <w:rPr>
          <w:color w:val="000000"/>
          <w:sz w:val="20"/>
          <w:szCs w:val="20"/>
        </w:rPr>
        <w:t>6</w:t>
      </w:r>
      <w:r>
        <w:rPr>
          <w:color w:val="000000"/>
          <w:sz w:val="20"/>
          <w:szCs w:val="20"/>
        </w:rPr>
        <w:t>, divididas en los 3 siguientes grupos:</w:t>
      </w:r>
    </w:p>
    <w:p w14:paraId="00000043" w14:textId="77777777" w:rsidR="00C85E45" w:rsidRDefault="00C85E45">
      <w:pPr>
        <w:pBdr>
          <w:top w:val="nil"/>
          <w:left w:val="nil"/>
          <w:bottom w:val="nil"/>
          <w:right w:val="nil"/>
          <w:between w:val="nil"/>
        </w:pBdr>
        <w:ind w:left="792"/>
        <w:rPr>
          <w:color w:val="000000"/>
          <w:sz w:val="20"/>
          <w:szCs w:val="20"/>
        </w:rPr>
      </w:pPr>
    </w:p>
    <w:p w14:paraId="00000044" w14:textId="77777777" w:rsidR="00C85E45" w:rsidRDefault="00000000">
      <w:pPr>
        <w:numPr>
          <w:ilvl w:val="0"/>
          <w:numId w:val="9"/>
        </w:numPr>
        <w:pBdr>
          <w:top w:val="nil"/>
          <w:left w:val="nil"/>
          <w:bottom w:val="nil"/>
          <w:right w:val="nil"/>
          <w:between w:val="nil"/>
        </w:pBdr>
        <w:rPr>
          <w:color w:val="000000"/>
          <w:sz w:val="20"/>
          <w:szCs w:val="20"/>
        </w:rPr>
      </w:pPr>
      <w:r>
        <w:rPr>
          <w:color w:val="000000"/>
          <w:sz w:val="20"/>
          <w:szCs w:val="20"/>
        </w:rPr>
        <w:t>14 prácticas generales de gestión.</w:t>
      </w:r>
    </w:p>
    <w:p w14:paraId="00000045" w14:textId="77777777" w:rsidR="00C85E45" w:rsidRDefault="00000000">
      <w:pPr>
        <w:numPr>
          <w:ilvl w:val="0"/>
          <w:numId w:val="9"/>
        </w:numPr>
        <w:pBdr>
          <w:top w:val="nil"/>
          <w:left w:val="nil"/>
          <w:bottom w:val="nil"/>
          <w:right w:val="nil"/>
          <w:between w:val="nil"/>
        </w:pBdr>
        <w:rPr>
          <w:color w:val="000000"/>
          <w:sz w:val="20"/>
          <w:szCs w:val="20"/>
        </w:rPr>
      </w:pPr>
      <w:r>
        <w:rPr>
          <w:color w:val="000000"/>
          <w:sz w:val="20"/>
          <w:szCs w:val="20"/>
        </w:rPr>
        <w:t>17 prácticas de gestión de servicios.</w:t>
      </w:r>
    </w:p>
    <w:p w14:paraId="00000046" w14:textId="77777777" w:rsidR="00C85E45" w:rsidRDefault="00000000">
      <w:pPr>
        <w:numPr>
          <w:ilvl w:val="0"/>
          <w:numId w:val="9"/>
        </w:numPr>
        <w:pBdr>
          <w:top w:val="nil"/>
          <w:left w:val="nil"/>
          <w:bottom w:val="nil"/>
          <w:right w:val="nil"/>
          <w:between w:val="nil"/>
        </w:pBdr>
        <w:rPr>
          <w:color w:val="000000"/>
          <w:sz w:val="20"/>
          <w:szCs w:val="20"/>
        </w:rPr>
      </w:pPr>
      <w:r>
        <w:rPr>
          <w:color w:val="000000"/>
          <w:sz w:val="20"/>
          <w:szCs w:val="20"/>
        </w:rPr>
        <w:t>3 prácticas de gestión técnica.</w:t>
      </w:r>
    </w:p>
    <w:p w14:paraId="00000047" w14:textId="77777777" w:rsidR="00C85E45" w:rsidRDefault="00C85E45">
      <w:pPr>
        <w:pBdr>
          <w:top w:val="nil"/>
          <w:left w:val="nil"/>
          <w:bottom w:val="nil"/>
          <w:right w:val="nil"/>
          <w:between w:val="nil"/>
        </w:pBdr>
        <w:ind w:left="792"/>
        <w:rPr>
          <w:color w:val="000000"/>
          <w:sz w:val="20"/>
          <w:szCs w:val="20"/>
        </w:rPr>
      </w:pPr>
    </w:p>
    <w:p w14:paraId="00000048" w14:textId="11DF6CD0" w:rsidR="00C85E45" w:rsidRDefault="00000000">
      <w:pPr>
        <w:keepNext/>
        <w:pBdr>
          <w:top w:val="nil"/>
          <w:left w:val="nil"/>
          <w:bottom w:val="nil"/>
          <w:right w:val="nil"/>
          <w:between w:val="nil"/>
        </w:pBdr>
        <w:spacing w:line="240" w:lineRule="auto"/>
        <w:ind w:firstLine="720"/>
        <w:rPr>
          <w:b/>
          <w:color w:val="000000"/>
          <w:sz w:val="20"/>
          <w:szCs w:val="20"/>
        </w:rPr>
      </w:pPr>
      <w:r>
        <w:rPr>
          <w:b/>
          <w:color w:val="000000"/>
          <w:sz w:val="20"/>
          <w:szCs w:val="20"/>
        </w:rPr>
        <w:lastRenderedPageBreak/>
        <w:t xml:space="preserve">Figura </w:t>
      </w:r>
      <w:r w:rsidR="00054750">
        <w:rPr>
          <w:b/>
          <w:color w:val="000000"/>
          <w:sz w:val="20"/>
          <w:szCs w:val="20"/>
        </w:rPr>
        <w:t>6</w:t>
      </w:r>
    </w:p>
    <w:p w14:paraId="00000049" w14:textId="77777777" w:rsidR="00C85E45" w:rsidRDefault="00000000">
      <w:pPr>
        <w:keepNext/>
        <w:pBdr>
          <w:top w:val="nil"/>
          <w:left w:val="nil"/>
          <w:bottom w:val="nil"/>
          <w:right w:val="nil"/>
          <w:between w:val="nil"/>
        </w:pBdr>
        <w:spacing w:line="240" w:lineRule="auto"/>
        <w:ind w:firstLine="720"/>
        <w:rPr>
          <w:i/>
          <w:color w:val="44546A"/>
          <w:sz w:val="20"/>
          <w:szCs w:val="20"/>
        </w:rPr>
      </w:pPr>
      <w:r>
        <w:rPr>
          <w:i/>
          <w:color w:val="000000"/>
          <w:sz w:val="20"/>
          <w:szCs w:val="20"/>
        </w:rPr>
        <w:t>Prácticas de ITIL v4</w:t>
      </w:r>
    </w:p>
    <w:p w14:paraId="0000004A" w14:textId="77777777" w:rsidR="00C85E45" w:rsidRDefault="00000000">
      <w:pPr>
        <w:jc w:val="center"/>
        <w:rPr>
          <w:sz w:val="20"/>
          <w:szCs w:val="20"/>
        </w:rPr>
      </w:pPr>
      <w:sdt>
        <w:sdtPr>
          <w:tag w:val="goog_rdk_5"/>
          <w:id w:val="-1392262688"/>
        </w:sdtPr>
        <w:sdtContent>
          <w:commentRangeStart w:id="5"/>
        </w:sdtContent>
      </w:sdt>
      <w:r>
        <w:rPr>
          <w:noProof/>
        </w:rPr>
        <w:drawing>
          <wp:inline distT="0" distB="0" distL="0" distR="0" wp14:anchorId="7A44F40E" wp14:editId="4253B2B9">
            <wp:extent cx="5837702" cy="3916271"/>
            <wp:effectExtent l="0" t="0" r="0" b="0"/>
            <wp:docPr id="86" name="image5.png" descr="Gráfico de Rob Akershoek"/>
            <wp:cNvGraphicFramePr/>
            <a:graphic xmlns:a="http://schemas.openxmlformats.org/drawingml/2006/main">
              <a:graphicData uri="http://schemas.openxmlformats.org/drawingml/2006/picture">
                <pic:pic xmlns:pic="http://schemas.openxmlformats.org/drawingml/2006/picture">
                  <pic:nvPicPr>
                    <pic:cNvPr id="0" name="image5.png" descr="Gráfico de Rob Akershoek"/>
                    <pic:cNvPicPr preferRelativeResize="0"/>
                  </pic:nvPicPr>
                  <pic:blipFill>
                    <a:blip r:embed="rId28"/>
                    <a:srcRect/>
                    <a:stretch>
                      <a:fillRect/>
                    </a:stretch>
                  </pic:blipFill>
                  <pic:spPr>
                    <a:xfrm>
                      <a:off x="0" y="0"/>
                      <a:ext cx="5837702" cy="3916271"/>
                    </a:xfrm>
                    <a:prstGeom prst="rect">
                      <a:avLst/>
                    </a:prstGeom>
                    <a:ln/>
                  </pic:spPr>
                </pic:pic>
              </a:graphicData>
            </a:graphic>
          </wp:inline>
        </w:drawing>
      </w:r>
      <w:commentRangeEnd w:id="5"/>
      <w:r>
        <w:commentReference w:id="5"/>
      </w:r>
    </w:p>
    <w:p w14:paraId="0000004B" w14:textId="77777777" w:rsidR="00C85E45" w:rsidRDefault="00000000">
      <w:pPr>
        <w:pBdr>
          <w:top w:val="nil"/>
          <w:left w:val="nil"/>
          <w:bottom w:val="nil"/>
          <w:right w:val="nil"/>
          <w:between w:val="nil"/>
        </w:pBdr>
        <w:ind w:left="792"/>
        <w:rPr>
          <w:color w:val="000000"/>
          <w:sz w:val="20"/>
          <w:szCs w:val="20"/>
        </w:rPr>
      </w:pPr>
      <w:r>
        <w:rPr>
          <w:color w:val="000000"/>
          <w:sz w:val="20"/>
          <w:szCs w:val="20"/>
        </w:rPr>
        <w:t xml:space="preserve">Nota. Recuperada de </w:t>
      </w:r>
      <w:hyperlink r:id="rId29">
        <w:r>
          <w:rPr>
            <w:color w:val="0563C1"/>
            <w:sz w:val="20"/>
            <w:szCs w:val="20"/>
            <w:u w:val="single"/>
          </w:rPr>
          <w:t>La PUCE-SI desarrolló evento virtual “ITIL 4, la siguiente evolución en la gestión de servicios TI” (pucesi.edu.ec)</w:t>
        </w:r>
      </w:hyperlink>
    </w:p>
    <w:p w14:paraId="0000004C" w14:textId="77777777" w:rsidR="00C85E45" w:rsidRDefault="00C85E45">
      <w:pPr>
        <w:rPr>
          <w:sz w:val="20"/>
          <w:szCs w:val="20"/>
        </w:rPr>
      </w:pPr>
    </w:p>
    <w:p w14:paraId="0000004D" w14:textId="77777777" w:rsidR="00C85E45" w:rsidRDefault="00C85E45">
      <w:pPr>
        <w:rPr>
          <w:sz w:val="20"/>
          <w:szCs w:val="20"/>
        </w:rPr>
      </w:pPr>
    </w:p>
    <w:p w14:paraId="0000004E" w14:textId="77777777" w:rsidR="00C85E45" w:rsidRDefault="00000000">
      <w:pPr>
        <w:numPr>
          <w:ilvl w:val="0"/>
          <w:numId w:val="4"/>
        </w:numPr>
        <w:pBdr>
          <w:top w:val="nil"/>
          <w:left w:val="nil"/>
          <w:bottom w:val="nil"/>
          <w:right w:val="nil"/>
          <w:between w:val="nil"/>
        </w:pBdr>
        <w:ind w:left="360"/>
        <w:rPr>
          <w:b/>
          <w:color w:val="000000"/>
          <w:sz w:val="20"/>
          <w:szCs w:val="20"/>
        </w:rPr>
      </w:pPr>
      <w:r>
        <w:rPr>
          <w:b/>
          <w:color w:val="000000"/>
          <w:sz w:val="20"/>
          <w:szCs w:val="20"/>
        </w:rPr>
        <w:t>ISO/IEC 20000 - Gestión de Servicios TI</w:t>
      </w:r>
    </w:p>
    <w:p w14:paraId="0000004F" w14:textId="77777777" w:rsidR="00C85E45" w:rsidRDefault="00C85E45">
      <w:pPr>
        <w:rPr>
          <w:sz w:val="20"/>
          <w:szCs w:val="20"/>
        </w:rPr>
      </w:pPr>
    </w:p>
    <w:p w14:paraId="00000050" w14:textId="77777777" w:rsidR="00C85E45" w:rsidRDefault="00000000">
      <w:pPr>
        <w:jc w:val="both"/>
        <w:rPr>
          <w:sz w:val="20"/>
          <w:szCs w:val="20"/>
        </w:rPr>
      </w:pPr>
      <w:r>
        <w:rPr>
          <w:sz w:val="20"/>
          <w:szCs w:val="20"/>
        </w:rPr>
        <w:t>Esta norma establece la implementación y estructura de los servicios de T.I. en una organización de manera fiable, velando porque estos servicios cumplan con las mejores prácticas.</w:t>
      </w:r>
    </w:p>
    <w:p w14:paraId="00000051" w14:textId="77777777" w:rsidR="00C85E45" w:rsidRDefault="00C85E45">
      <w:pPr>
        <w:pBdr>
          <w:top w:val="nil"/>
          <w:left w:val="nil"/>
          <w:bottom w:val="nil"/>
          <w:right w:val="nil"/>
          <w:between w:val="nil"/>
        </w:pBdr>
        <w:ind w:left="792"/>
        <w:jc w:val="both"/>
        <w:rPr>
          <w:color w:val="000000"/>
          <w:sz w:val="20"/>
          <w:szCs w:val="20"/>
        </w:rPr>
      </w:pPr>
    </w:p>
    <w:p w14:paraId="00000052" w14:textId="77777777" w:rsidR="00C85E45" w:rsidRDefault="00000000">
      <w:pPr>
        <w:jc w:val="both"/>
        <w:rPr>
          <w:sz w:val="20"/>
          <w:szCs w:val="20"/>
        </w:rPr>
      </w:pPr>
      <w:r>
        <w:rPr>
          <w:sz w:val="20"/>
          <w:szCs w:val="20"/>
        </w:rPr>
        <w:t>El objetivo principal de esta norma es ofrecer a las empresas una certificación que garantice la implementación y adopción de buenas prácticas en la implementación de sus sistemas de información.</w:t>
      </w:r>
    </w:p>
    <w:p w14:paraId="00000053" w14:textId="77777777" w:rsidR="00C85E45" w:rsidRDefault="00C85E45">
      <w:pPr>
        <w:pBdr>
          <w:top w:val="nil"/>
          <w:left w:val="nil"/>
          <w:bottom w:val="nil"/>
          <w:right w:val="nil"/>
          <w:between w:val="nil"/>
        </w:pBdr>
        <w:ind w:left="792"/>
        <w:jc w:val="both"/>
        <w:rPr>
          <w:color w:val="000000"/>
          <w:sz w:val="20"/>
          <w:szCs w:val="20"/>
        </w:rPr>
      </w:pPr>
    </w:p>
    <w:p w14:paraId="00000054" w14:textId="77777777" w:rsidR="00C85E45" w:rsidRDefault="00000000">
      <w:pPr>
        <w:jc w:val="both"/>
        <w:rPr>
          <w:sz w:val="20"/>
          <w:szCs w:val="20"/>
        </w:rPr>
      </w:pPr>
      <w:r>
        <w:rPr>
          <w:sz w:val="20"/>
          <w:szCs w:val="20"/>
        </w:rPr>
        <w:t>La norma ISO 2000 está compuesta por 8 bloques, pero son más conocidos como parte 1 y parte 2.</w:t>
      </w:r>
    </w:p>
    <w:p w14:paraId="00000055" w14:textId="77777777" w:rsidR="00C85E45" w:rsidRDefault="00C85E45">
      <w:pPr>
        <w:pBdr>
          <w:top w:val="nil"/>
          <w:left w:val="nil"/>
          <w:bottom w:val="nil"/>
          <w:right w:val="nil"/>
          <w:between w:val="nil"/>
        </w:pBdr>
        <w:ind w:left="792"/>
        <w:jc w:val="both"/>
        <w:rPr>
          <w:color w:val="000000"/>
          <w:sz w:val="20"/>
          <w:szCs w:val="20"/>
        </w:rPr>
      </w:pPr>
    </w:p>
    <w:p w14:paraId="00000056" w14:textId="77777777" w:rsidR="00C85E45" w:rsidRDefault="00000000">
      <w:pPr>
        <w:jc w:val="both"/>
        <w:rPr>
          <w:b/>
          <w:sz w:val="20"/>
          <w:szCs w:val="20"/>
        </w:rPr>
      </w:pPr>
      <w:r>
        <w:rPr>
          <w:b/>
          <w:sz w:val="20"/>
          <w:szCs w:val="20"/>
        </w:rPr>
        <w:t>Parte 1 - ISO 20000-1:2011</w:t>
      </w:r>
    </w:p>
    <w:p w14:paraId="00000057" w14:textId="77777777" w:rsidR="00C85E45" w:rsidRDefault="00000000">
      <w:pPr>
        <w:jc w:val="both"/>
        <w:rPr>
          <w:sz w:val="20"/>
          <w:szCs w:val="20"/>
        </w:rPr>
      </w:pPr>
      <w:r>
        <w:rPr>
          <w:sz w:val="20"/>
          <w:szCs w:val="20"/>
        </w:rPr>
        <w:t xml:space="preserve">Propone el conjunto de especificaciones para la gestión eficiente del suministro de servicios de tecnologías de la información. Aquí se definen los requerimientos para ofrecer los servicios T.I. con una calidad aceptable, el diseño y transición de los servicios y los siguientes procesos: </w:t>
      </w:r>
    </w:p>
    <w:p w14:paraId="00000058" w14:textId="77777777" w:rsidR="00C85E45" w:rsidRDefault="00C85E45">
      <w:pPr>
        <w:pBdr>
          <w:top w:val="nil"/>
          <w:left w:val="nil"/>
          <w:bottom w:val="nil"/>
          <w:right w:val="nil"/>
          <w:between w:val="nil"/>
        </w:pBdr>
        <w:ind w:left="792"/>
        <w:jc w:val="both"/>
        <w:rPr>
          <w:color w:val="000000"/>
          <w:sz w:val="20"/>
          <w:szCs w:val="20"/>
        </w:rPr>
      </w:pPr>
    </w:p>
    <w:p w14:paraId="00000059" w14:textId="00A55B89" w:rsidR="00C85E45" w:rsidRDefault="00000000">
      <w:pPr>
        <w:numPr>
          <w:ilvl w:val="0"/>
          <w:numId w:val="1"/>
        </w:numPr>
        <w:pBdr>
          <w:top w:val="nil"/>
          <w:left w:val="nil"/>
          <w:bottom w:val="nil"/>
          <w:right w:val="nil"/>
          <w:between w:val="nil"/>
        </w:pBdr>
        <w:jc w:val="both"/>
        <w:rPr>
          <w:color w:val="000000"/>
          <w:sz w:val="20"/>
          <w:szCs w:val="20"/>
        </w:rPr>
      </w:pPr>
      <w:r>
        <w:rPr>
          <w:b/>
          <w:color w:val="000000"/>
          <w:sz w:val="20"/>
          <w:szCs w:val="20"/>
        </w:rPr>
        <w:lastRenderedPageBreak/>
        <w:t>Procesos de servicios</w:t>
      </w:r>
      <w:r>
        <w:rPr>
          <w:color w:val="000000"/>
          <w:sz w:val="20"/>
          <w:szCs w:val="20"/>
        </w:rPr>
        <w:t xml:space="preserve">: </w:t>
      </w:r>
      <w:r w:rsidR="00EF58C1">
        <w:rPr>
          <w:color w:val="000000"/>
          <w:sz w:val="20"/>
          <w:szCs w:val="20"/>
        </w:rPr>
        <w:t>t</w:t>
      </w:r>
      <w:r>
        <w:rPr>
          <w:color w:val="000000"/>
          <w:sz w:val="20"/>
          <w:szCs w:val="20"/>
        </w:rPr>
        <w:t xml:space="preserve">odos aquellos procesos que tienen que ver con la entrega del servicio, como disponibilidad, capacidad, seguridad de la información y otros procesos de gestión de servicios. </w:t>
      </w:r>
    </w:p>
    <w:p w14:paraId="0000005A" w14:textId="62B5527C" w:rsidR="00C85E45" w:rsidRDefault="00000000">
      <w:pPr>
        <w:numPr>
          <w:ilvl w:val="0"/>
          <w:numId w:val="1"/>
        </w:numPr>
        <w:pBdr>
          <w:top w:val="nil"/>
          <w:left w:val="nil"/>
          <w:bottom w:val="nil"/>
          <w:right w:val="nil"/>
          <w:between w:val="nil"/>
        </w:pBdr>
        <w:jc w:val="both"/>
        <w:rPr>
          <w:color w:val="000000"/>
          <w:sz w:val="20"/>
          <w:szCs w:val="20"/>
        </w:rPr>
      </w:pPr>
      <w:r>
        <w:rPr>
          <w:b/>
          <w:color w:val="000000"/>
          <w:sz w:val="20"/>
          <w:szCs w:val="20"/>
        </w:rPr>
        <w:t>Procesos de relaciones</w:t>
      </w:r>
      <w:r>
        <w:rPr>
          <w:color w:val="000000"/>
          <w:sz w:val="20"/>
          <w:szCs w:val="20"/>
        </w:rPr>
        <w:t xml:space="preserve">: </w:t>
      </w:r>
      <w:r w:rsidR="00EF58C1">
        <w:rPr>
          <w:color w:val="000000"/>
          <w:sz w:val="20"/>
          <w:szCs w:val="20"/>
        </w:rPr>
        <w:t>a</w:t>
      </w:r>
      <w:r>
        <w:rPr>
          <w:color w:val="000000"/>
          <w:sz w:val="20"/>
          <w:szCs w:val="20"/>
        </w:rPr>
        <w:t xml:space="preserve">quellos procesos relativos a las relaciones y comunicaciones, tanto con el negocio como con los suministradores. </w:t>
      </w:r>
    </w:p>
    <w:p w14:paraId="0000005B" w14:textId="612A5655" w:rsidR="00C85E45" w:rsidRDefault="00000000">
      <w:pPr>
        <w:numPr>
          <w:ilvl w:val="0"/>
          <w:numId w:val="1"/>
        </w:numPr>
        <w:pBdr>
          <w:top w:val="nil"/>
          <w:left w:val="nil"/>
          <w:bottom w:val="nil"/>
          <w:right w:val="nil"/>
          <w:between w:val="nil"/>
        </w:pBdr>
        <w:jc w:val="both"/>
        <w:rPr>
          <w:color w:val="000000"/>
          <w:sz w:val="20"/>
          <w:szCs w:val="20"/>
        </w:rPr>
      </w:pPr>
      <w:r>
        <w:rPr>
          <w:b/>
          <w:color w:val="000000"/>
          <w:sz w:val="20"/>
          <w:szCs w:val="20"/>
        </w:rPr>
        <w:t>Procesos de resolución</w:t>
      </w:r>
      <w:r>
        <w:rPr>
          <w:color w:val="000000"/>
          <w:sz w:val="20"/>
          <w:szCs w:val="20"/>
        </w:rPr>
        <w:t xml:space="preserve">: </w:t>
      </w:r>
      <w:r w:rsidR="00EF58C1">
        <w:rPr>
          <w:color w:val="000000"/>
          <w:sz w:val="20"/>
          <w:szCs w:val="20"/>
        </w:rPr>
        <w:t>a</w:t>
      </w:r>
      <w:r>
        <w:rPr>
          <w:color w:val="000000"/>
          <w:sz w:val="20"/>
          <w:szCs w:val="20"/>
        </w:rPr>
        <w:t xml:space="preserve">quellos procesos de resolución de problemas, incidencias y petición de servicio. </w:t>
      </w:r>
    </w:p>
    <w:p w14:paraId="0000005C" w14:textId="303EE6C7" w:rsidR="00C85E45" w:rsidRDefault="00000000">
      <w:pPr>
        <w:numPr>
          <w:ilvl w:val="0"/>
          <w:numId w:val="1"/>
        </w:numPr>
        <w:pBdr>
          <w:top w:val="nil"/>
          <w:left w:val="nil"/>
          <w:bottom w:val="nil"/>
          <w:right w:val="nil"/>
          <w:between w:val="nil"/>
        </w:pBdr>
        <w:jc w:val="both"/>
        <w:rPr>
          <w:color w:val="000000"/>
          <w:sz w:val="20"/>
          <w:szCs w:val="20"/>
        </w:rPr>
      </w:pPr>
      <w:r>
        <w:rPr>
          <w:b/>
          <w:color w:val="000000"/>
          <w:sz w:val="20"/>
          <w:szCs w:val="20"/>
        </w:rPr>
        <w:t>Procesos de control</w:t>
      </w:r>
      <w:r>
        <w:rPr>
          <w:color w:val="000000"/>
          <w:sz w:val="20"/>
          <w:szCs w:val="20"/>
        </w:rPr>
        <w:t xml:space="preserve">: </w:t>
      </w:r>
      <w:r w:rsidR="00EF58C1">
        <w:rPr>
          <w:color w:val="000000"/>
          <w:sz w:val="20"/>
          <w:szCs w:val="20"/>
        </w:rPr>
        <w:t>t</w:t>
      </w:r>
      <w:r>
        <w:rPr>
          <w:color w:val="000000"/>
          <w:sz w:val="20"/>
          <w:szCs w:val="20"/>
        </w:rPr>
        <w:t>odos los procesos relacionados con la configuración, cambios y entrega y despliegue de los servicios.</w:t>
      </w:r>
    </w:p>
    <w:p w14:paraId="0000005D" w14:textId="77777777" w:rsidR="00C85E45" w:rsidRDefault="00C85E45">
      <w:pPr>
        <w:pBdr>
          <w:top w:val="nil"/>
          <w:left w:val="nil"/>
          <w:bottom w:val="nil"/>
          <w:right w:val="nil"/>
          <w:between w:val="nil"/>
        </w:pBdr>
        <w:ind w:left="792"/>
        <w:rPr>
          <w:color w:val="000000"/>
          <w:sz w:val="20"/>
          <w:szCs w:val="20"/>
        </w:rPr>
      </w:pPr>
    </w:p>
    <w:p w14:paraId="0000005E" w14:textId="02B095AC" w:rsidR="00C85E45" w:rsidRDefault="00000000">
      <w:pPr>
        <w:keepNext/>
        <w:pBdr>
          <w:top w:val="nil"/>
          <w:left w:val="nil"/>
          <w:bottom w:val="nil"/>
          <w:right w:val="nil"/>
          <w:between w:val="nil"/>
        </w:pBdr>
        <w:spacing w:line="240" w:lineRule="auto"/>
        <w:ind w:firstLine="720"/>
        <w:rPr>
          <w:b/>
          <w:color w:val="000000"/>
          <w:sz w:val="20"/>
          <w:szCs w:val="20"/>
        </w:rPr>
      </w:pPr>
      <w:r>
        <w:rPr>
          <w:b/>
          <w:color w:val="000000"/>
          <w:sz w:val="20"/>
          <w:szCs w:val="20"/>
        </w:rPr>
        <w:t xml:space="preserve">Figura </w:t>
      </w:r>
      <w:r w:rsidR="00054750">
        <w:rPr>
          <w:b/>
          <w:color w:val="000000"/>
          <w:sz w:val="20"/>
          <w:szCs w:val="20"/>
        </w:rPr>
        <w:t>7</w:t>
      </w:r>
    </w:p>
    <w:p w14:paraId="0000005F" w14:textId="77777777" w:rsidR="00C85E45" w:rsidRDefault="00000000">
      <w:pPr>
        <w:keepNext/>
        <w:pBdr>
          <w:top w:val="nil"/>
          <w:left w:val="nil"/>
          <w:bottom w:val="nil"/>
          <w:right w:val="nil"/>
          <w:between w:val="nil"/>
        </w:pBdr>
        <w:spacing w:line="240" w:lineRule="auto"/>
        <w:ind w:firstLine="720"/>
        <w:rPr>
          <w:i/>
          <w:color w:val="000000"/>
          <w:sz w:val="20"/>
          <w:szCs w:val="20"/>
        </w:rPr>
      </w:pPr>
      <w:r>
        <w:rPr>
          <w:i/>
          <w:color w:val="000000"/>
          <w:sz w:val="20"/>
          <w:szCs w:val="20"/>
        </w:rPr>
        <w:t>Organización de un sistema de gestión de servicios TI</w:t>
      </w:r>
    </w:p>
    <w:p w14:paraId="00000060" w14:textId="77777777" w:rsidR="00C85E45" w:rsidRDefault="00000000">
      <w:pPr>
        <w:jc w:val="center"/>
        <w:rPr>
          <w:sz w:val="20"/>
          <w:szCs w:val="20"/>
        </w:rPr>
      </w:pPr>
      <w:sdt>
        <w:sdtPr>
          <w:tag w:val="goog_rdk_6"/>
          <w:id w:val="1025364344"/>
        </w:sdtPr>
        <w:sdtContent>
          <w:commentRangeStart w:id="6"/>
        </w:sdtContent>
      </w:sdt>
      <w:r>
        <w:rPr>
          <w:noProof/>
        </w:rPr>
        <w:drawing>
          <wp:inline distT="0" distB="0" distL="0" distR="0" wp14:anchorId="1FFC43F1" wp14:editId="2BC73B23">
            <wp:extent cx="5672199" cy="3541059"/>
            <wp:effectExtent l="0" t="0" r="0" b="0"/>
            <wp:docPr id="89" name="image8.png" descr="ISO 20000 Sistema de Gestión de Servicios de Tecnologías de la Información"/>
            <wp:cNvGraphicFramePr/>
            <a:graphic xmlns:a="http://schemas.openxmlformats.org/drawingml/2006/main">
              <a:graphicData uri="http://schemas.openxmlformats.org/drawingml/2006/picture">
                <pic:pic xmlns:pic="http://schemas.openxmlformats.org/drawingml/2006/picture">
                  <pic:nvPicPr>
                    <pic:cNvPr id="0" name="image8.png" descr="ISO 20000 Sistema de Gestión de Servicios de Tecnologías de la Información"/>
                    <pic:cNvPicPr preferRelativeResize="0"/>
                  </pic:nvPicPr>
                  <pic:blipFill>
                    <a:blip r:embed="rId30"/>
                    <a:srcRect/>
                    <a:stretch>
                      <a:fillRect/>
                    </a:stretch>
                  </pic:blipFill>
                  <pic:spPr>
                    <a:xfrm>
                      <a:off x="0" y="0"/>
                      <a:ext cx="5672199" cy="3541059"/>
                    </a:xfrm>
                    <a:prstGeom prst="rect">
                      <a:avLst/>
                    </a:prstGeom>
                    <a:ln/>
                  </pic:spPr>
                </pic:pic>
              </a:graphicData>
            </a:graphic>
          </wp:inline>
        </w:drawing>
      </w:r>
      <w:commentRangeEnd w:id="6"/>
      <w:r>
        <w:commentReference w:id="6"/>
      </w:r>
    </w:p>
    <w:p w14:paraId="00000061" w14:textId="77777777" w:rsidR="00C85E45" w:rsidRDefault="00000000">
      <w:pPr>
        <w:pBdr>
          <w:top w:val="nil"/>
          <w:left w:val="nil"/>
          <w:bottom w:val="nil"/>
          <w:right w:val="nil"/>
          <w:between w:val="nil"/>
        </w:pBdr>
        <w:ind w:left="792"/>
        <w:rPr>
          <w:color w:val="000000"/>
          <w:sz w:val="20"/>
          <w:szCs w:val="20"/>
        </w:rPr>
      </w:pPr>
      <w:r>
        <w:rPr>
          <w:color w:val="000000"/>
          <w:sz w:val="20"/>
          <w:szCs w:val="20"/>
        </w:rPr>
        <w:t xml:space="preserve">Nota. Recuperada de </w:t>
      </w:r>
      <w:hyperlink r:id="rId31">
        <w:r>
          <w:rPr>
            <w:color w:val="0563C1"/>
            <w:sz w:val="20"/>
            <w:szCs w:val="20"/>
            <w:u w:val="single"/>
          </w:rPr>
          <w:t>ISO 20000 - Calidad de los servicios TI ISO / IEC 20000 (normas-iso.com)</w:t>
        </w:r>
      </w:hyperlink>
    </w:p>
    <w:p w14:paraId="00000062" w14:textId="77777777" w:rsidR="00C85E45" w:rsidRDefault="00C85E45">
      <w:pPr>
        <w:pBdr>
          <w:top w:val="nil"/>
          <w:left w:val="nil"/>
          <w:bottom w:val="nil"/>
          <w:right w:val="nil"/>
          <w:between w:val="nil"/>
        </w:pBdr>
        <w:ind w:left="792"/>
        <w:rPr>
          <w:color w:val="000000"/>
          <w:sz w:val="20"/>
          <w:szCs w:val="20"/>
        </w:rPr>
      </w:pPr>
    </w:p>
    <w:p w14:paraId="00000063" w14:textId="77777777" w:rsidR="00C85E45" w:rsidRDefault="00000000">
      <w:pPr>
        <w:rPr>
          <w:b/>
          <w:sz w:val="20"/>
          <w:szCs w:val="20"/>
        </w:rPr>
      </w:pPr>
      <w:r>
        <w:rPr>
          <w:b/>
          <w:sz w:val="20"/>
          <w:szCs w:val="20"/>
        </w:rPr>
        <w:t xml:space="preserve">Parte 2 - ISO 20000-2:2012 </w:t>
      </w:r>
    </w:p>
    <w:p w14:paraId="00000064" w14:textId="77777777" w:rsidR="00C85E45" w:rsidRDefault="00000000">
      <w:pPr>
        <w:jc w:val="both"/>
        <w:rPr>
          <w:sz w:val="20"/>
          <w:szCs w:val="20"/>
        </w:rPr>
      </w:pPr>
      <w:r>
        <w:rPr>
          <w:sz w:val="20"/>
          <w:szCs w:val="20"/>
        </w:rPr>
        <w:t>Contiene la serie de buenas prácticas que son aceptadas por la industria en cuanto a la gestión de servicios TI. Es fundamental para la aplicación de gestión del servicio y es utilizado para preparar a una empresa para obtener la certificación.</w:t>
      </w:r>
    </w:p>
    <w:p w14:paraId="00000065" w14:textId="77777777" w:rsidR="00C85E45" w:rsidRDefault="00C85E45">
      <w:pPr>
        <w:pBdr>
          <w:top w:val="nil"/>
          <w:left w:val="nil"/>
          <w:bottom w:val="nil"/>
          <w:right w:val="nil"/>
          <w:between w:val="nil"/>
        </w:pBdr>
        <w:ind w:left="792"/>
        <w:rPr>
          <w:color w:val="000000"/>
          <w:sz w:val="20"/>
          <w:szCs w:val="20"/>
        </w:rPr>
      </w:pPr>
    </w:p>
    <w:p w14:paraId="00000066" w14:textId="2A6DFFC1" w:rsidR="00C85E45" w:rsidRDefault="00000000">
      <w:pPr>
        <w:rPr>
          <w:sz w:val="20"/>
          <w:szCs w:val="20"/>
        </w:rPr>
      </w:pPr>
      <w:r>
        <w:rPr>
          <w:sz w:val="20"/>
          <w:szCs w:val="20"/>
        </w:rPr>
        <w:t xml:space="preserve">En la Figura </w:t>
      </w:r>
      <w:r w:rsidR="00054750">
        <w:rPr>
          <w:sz w:val="20"/>
          <w:szCs w:val="20"/>
        </w:rPr>
        <w:t>8</w:t>
      </w:r>
      <w:r>
        <w:rPr>
          <w:sz w:val="20"/>
          <w:szCs w:val="20"/>
        </w:rPr>
        <w:t>, es posible apreciar la estructura de la norma ISO 20000-2:2012</w:t>
      </w:r>
    </w:p>
    <w:p w14:paraId="00000067" w14:textId="77777777" w:rsidR="00C85E45" w:rsidRDefault="00C85E45">
      <w:pPr>
        <w:pBdr>
          <w:top w:val="nil"/>
          <w:left w:val="nil"/>
          <w:bottom w:val="nil"/>
          <w:right w:val="nil"/>
          <w:between w:val="nil"/>
        </w:pBdr>
        <w:ind w:left="792"/>
        <w:rPr>
          <w:color w:val="000000"/>
          <w:sz w:val="20"/>
          <w:szCs w:val="20"/>
        </w:rPr>
      </w:pPr>
    </w:p>
    <w:p w14:paraId="00000068" w14:textId="532C6806" w:rsidR="00C85E45" w:rsidRDefault="00000000">
      <w:pPr>
        <w:keepNext/>
        <w:pBdr>
          <w:top w:val="nil"/>
          <w:left w:val="nil"/>
          <w:bottom w:val="nil"/>
          <w:right w:val="nil"/>
          <w:between w:val="nil"/>
        </w:pBdr>
        <w:spacing w:line="240" w:lineRule="auto"/>
        <w:rPr>
          <w:b/>
          <w:color w:val="000000"/>
          <w:sz w:val="20"/>
          <w:szCs w:val="20"/>
        </w:rPr>
      </w:pPr>
      <w:r>
        <w:rPr>
          <w:b/>
          <w:color w:val="000000"/>
          <w:sz w:val="20"/>
          <w:szCs w:val="20"/>
        </w:rPr>
        <w:lastRenderedPageBreak/>
        <w:t xml:space="preserve">Figura </w:t>
      </w:r>
      <w:r w:rsidR="00054750">
        <w:rPr>
          <w:b/>
          <w:color w:val="000000"/>
          <w:sz w:val="20"/>
          <w:szCs w:val="20"/>
        </w:rPr>
        <w:t>8</w:t>
      </w:r>
    </w:p>
    <w:p w14:paraId="00000069" w14:textId="77777777" w:rsidR="00C85E45" w:rsidRDefault="00000000">
      <w:pPr>
        <w:keepNext/>
        <w:pBdr>
          <w:top w:val="nil"/>
          <w:left w:val="nil"/>
          <w:bottom w:val="nil"/>
          <w:right w:val="nil"/>
          <w:between w:val="nil"/>
        </w:pBdr>
        <w:spacing w:line="240" w:lineRule="auto"/>
        <w:rPr>
          <w:i/>
          <w:color w:val="44546A"/>
          <w:sz w:val="20"/>
          <w:szCs w:val="20"/>
        </w:rPr>
      </w:pPr>
      <w:r>
        <w:rPr>
          <w:i/>
          <w:color w:val="000000"/>
          <w:sz w:val="20"/>
          <w:szCs w:val="20"/>
        </w:rPr>
        <w:t>Estructura de la norma ISO/IEC 20000</w:t>
      </w:r>
    </w:p>
    <w:p w14:paraId="0000006A" w14:textId="77777777" w:rsidR="00C85E45" w:rsidRDefault="00000000">
      <w:pPr>
        <w:jc w:val="center"/>
        <w:rPr>
          <w:sz w:val="20"/>
          <w:szCs w:val="20"/>
        </w:rPr>
      </w:pPr>
      <w:sdt>
        <w:sdtPr>
          <w:tag w:val="goog_rdk_7"/>
          <w:id w:val="-859737777"/>
        </w:sdtPr>
        <w:sdtContent>
          <w:commentRangeStart w:id="7"/>
        </w:sdtContent>
      </w:sdt>
      <w:r>
        <w:rPr>
          <w:noProof/>
        </w:rPr>
        <w:drawing>
          <wp:inline distT="0" distB="0" distL="0" distR="0" wp14:anchorId="1534653D" wp14:editId="161C9F7E">
            <wp:extent cx="5673071" cy="3706336"/>
            <wp:effectExtent l="0" t="0" r="0" b="0"/>
            <wp:docPr id="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673071" cy="3706336"/>
                    </a:xfrm>
                    <a:prstGeom prst="rect">
                      <a:avLst/>
                    </a:prstGeom>
                    <a:ln/>
                  </pic:spPr>
                </pic:pic>
              </a:graphicData>
            </a:graphic>
          </wp:inline>
        </w:drawing>
      </w:r>
      <w:commentRangeEnd w:id="7"/>
      <w:r>
        <w:commentReference w:id="7"/>
      </w:r>
    </w:p>
    <w:p w14:paraId="0000006B" w14:textId="77777777" w:rsidR="00C85E45" w:rsidRDefault="00000000">
      <w:pPr>
        <w:pBdr>
          <w:top w:val="nil"/>
          <w:left w:val="nil"/>
          <w:bottom w:val="nil"/>
          <w:right w:val="nil"/>
          <w:between w:val="nil"/>
        </w:pBdr>
        <w:ind w:left="792"/>
        <w:rPr>
          <w:color w:val="000000"/>
          <w:sz w:val="20"/>
          <w:szCs w:val="20"/>
        </w:rPr>
      </w:pPr>
      <w:r>
        <w:rPr>
          <w:color w:val="000000"/>
          <w:sz w:val="20"/>
          <w:szCs w:val="20"/>
        </w:rPr>
        <w:t xml:space="preserve">Nota. Recuperada de </w:t>
      </w:r>
      <w:hyperlink r:id="rId33">
        <w:r>
          <w:rPr>
            <w:color w:val="0563C1"/>
            <w:sz w:val="20"/>
            <w:szCs w:val="20"/>
            <w:u w:val="single"/>
          </w:rPr>
          <w:t>Iso20000</w:t>
        </w:r>
      </w:hyperlink>
      <w:hyperlink r:id="rId34">
        <w:r>
          <w:rPr>
            <w:color w:val="0563C1"/>
            <w:sz w:val="20"/>
            <w:szCs w:val="20"/>
            <w:u w:val="single"/>
          </w:rPr>
          <w:t>-1:2012 - Gestión y Proyectos (</w:t>
        </w:r>
      </w:hyperlink>
      <w:hyperlink r:id="rId35">
        <w:r>
          <w:rPr>
            <w:color w:val="0563C1"/>
            <w:sz w:val="20"/>
            <w:szCs w:val="20"/>
            <w:u w:val="single"/>
          </w:rPr>
          <w:t>gestionyproyectos.co</w:t>
        </w:r>
      </w:hyperlink>
      <w:hyperlink r:id="rId36">
        <w:r>
          <w:rPr>
            <w:color w:val="0563C1"/>
            <w:sz w:val="20"/>
            <w:szCs w:val="20"/>
            <w:u w:val="single"/>
          </w:rPr>
          <w:t>)</w:t>
        </w:r>
      </w:hyperlink>
    </w:p>
    <w:p w14:paraId="0000006C" w14:textId="77777777" w:rsidR="00C85E45" w:rsidRDefault="00C85E45">
      <w:pPr>
        <w:pBdr>
          <w:top w:val="nil"/>
          <w:left w:val="nil"/>
          <w:bottom w:val="nil"/>
          <w:right w:val="nil"/>
          <w:between w:val="nil"/>
        </w:pBdr>
        <w:ind w:left="792"/>
        <w:rPr>
          <w:color w:val="000000"/>
          <w:sz w:val="20"/>
          <w:szCs w:val="20"/>
        </w:rPr>
      </w:pPr>
    </w:p>
    <w:p w14:paraId="0000006D" w14:textId="77777777" w:rsidR="00C85E45" w:rsidRDefault="00C85E45">
      <w:pPr>
        <w:rPr>
          <w:b/>
          <w:sz w:val="20"/>
          <w:szCs w:val="20"/>
        </w:rPr>
      </w:pPr>
    </w:p>
    <w:p w14:paraId="0000006E" w14:textId="77777777" w:rsidR="00C85E45" w:rsidRDefault="00000000">
      <w:pPr>
        <w:numPr>
          <w:ilvl w:val="0"/>
          <w:numId w:val="4"/>
        </w:numPr>
        <w:pBdr>
          <w:top w:val="nil"/>
          <w:left w:val="nil"/>
          <w:bottom w:val="nil"/>
          <w:right w:val="nil"/>
          <w:between w:val="nil"/>
        </w:pBdr>
        <w:ind w:left="360"/>
        <w:rPr>
          <w:b/>
          <w:color w:val="000000"/>
          <w:sz w:val="20"/>
          <w:szCs w:val="20"/>
        </w:rPr>
      </w:pPr>
      <w:r>
        <w:rPr>
          <w:b/>
          <w:color w:val="000000"/>
          <w:sz w:val="20"/>
          <w:szCs w:val="20"/>
        </w:rPr>
        <w:t>ISO/IEC 27001 - Sistemas de gestión de riesgos y seguridad</w:t>
      </w:r>
    </w:p>
    <w:p w14:paraId="0000006F" w14:textId="77777777" w:rsidR="00C85E45" w:rsidRDefault="00C85E45">
      <w:pPr>
        <w:jc w:val="both"/>
        <w:rPr>
          <w:sz w:val="20"/>
          <w:szCs w:val="20"/>
        </w:rPr>
      </w:pPr>
    </w:p>
    <w:p w14:paraId="00000070" w14:textId="77777777" w:rsidR="00C85E45" w:rsidRDefault="00000000">
      <w:pPr>
        <w:jc w:val="both"/>
        <w:rPr>
          <w:sz w:val="20"/>
          <w:szCs w:val="20"/>
        </w:rPr>
      </w:pPr>
      <w:r>
        <w:rPr>
          <w:sz w:val="20"/>
          <w:szCs w:val="20"/>
        </w:rPr>
        <w:t>La norma ISO/IEC 27001:2013 es una norma que establece las pautas para el aseguramiento, la confidencialidad y la integridad de los datos y de la información, así como de los sistemas asociados.</w:t>
      </w:r>
    </w:p>
    <w:p w14:paraId="00000071" w14:textId="77777777" w:rsidR="00C85E45" w:rsidRDefault="00C85E45">
      <w:pPr>
        <w:ind w:left="720"/>
        <w:jc w:val="both"/>
        <w:rPr>
          <w:sz w:val="20"/>
          <w:szCs w:val="20"/>
        </w:rPr>
      </w:pPr>
    </w:p>
    <w:p w14:paraId="00000072" w14:textId="77777777" w:rsidR="00C85E45" w:rsidRDefault="00000000">
      <w:pPr>
        <w:jc w:val="both"/>
        <w:rPr>
          <w:sz w:val="20"/>
          <w:szCs w:val="20"/>
        </w:rPr>
      </w:pPr>
      <w:r>
        <w:rPr>
          <w:sz w:val="20"/>
          <w:szCs w:val="20"/>
        </w:rPr>
        <w:t>Esta norma permite a las organizaciones implementar la evaluación del riesgo y la aplicación de los controles necesarios para mitigarlos o eliminarlos.</w:t>
      </w:r>
    </w:p>
    <w:p w14:paraId="00000073" w14:textId="77777777" w:rsidR="00C85E45" w:rsidRDefault="00C85E45">
      <w:pPr>
        <w:ind w:left="720"/>
        <w:jc w:val="both"/>
        <w:rPr>
          <w:sz w:val="20"/>
          <w:szCs w:val="20"/>
        </w:rPr>
      </w:pPr>
    </w:p>
    <w:p w14:paraId="00000074" w14:textId="24C68C77" w:rsidR="00C85E45" w:rsidRDefault="00000000">
      <w:pPr>
        <w:jc w:val="both"/>
        <w:rPr>
          <w:sz w:val="20"/>
          <w:szCs w:val="20"/>
        </w:rPr>
      </w:pPr>
      <w:r>
        <w:rPr>
          <w:sz w:val="20"/>
          <w:szCs w:val="20"/>
        </w:rPr>
        <w:t xml:space="preserve">En la Figura </w:t>
      </w:r>
      <w:r w:rsidR="008B5A81">
        <w:rPr>
          <w:sz w:val="20"/>
          <w:szCs w:val="20"/>
        </w:rPr>
        <w:t>9</w:t>
      </w:r>
      <w:r>
        <w:rPr>
          <w:sz w:val="20"/>
          <w:szCs w:val="20"/>
        </w:rPr>
        <w:t>, es posible observar un esquema de los elementos o fases más relevantes en la implementación de un SGSI basado en la norma ISO/IEC 27001:2013</w:t>
      </w:r>
    </w:p>
    <w:p w14:paraId="00000075" w14:textId="77777777" w:rsidR="00C85E45" w:rsidRDefault="00C85E45">
      <w:pPr>
        <w:pBdr>
          <w:top w:val="nil"/>
          <w:left w:val="nil"/>
          <w:bottom w:val="nil"/>
          <w:right w:val="nil"/>
          <w:between w:val="nil"/>
        </w:pBdr>
        <w:ind w:left="792"/>
        <w:rPr>
          <w:color w:val="000000"/>
          <w:sz w:val="20"/>
          <w:szCs w:val="20"/>
        </w:rPr>
      </w:pPr>
    </w:p>
    <w:p w14:paraId="00000076" w14:textId="4E8E1178" w:rsidR="00C85E45" w:rsidRDefault="00000000">
      <w:pPr>
        <w:keepNext/>
        <w:pBdr>
          <w:top w:val="nil"/>
          <w:left w:val="nil"/>
          <w:bottom w:val="nil"/>
          <w:right w:val="nil"/>
          <w:between w:val="nil"/>
        </w:pBdr>
        <w:spacing w:line="240" w:lineRule="auto"/>
        <w:rPr>
          <w:b/>
          <w:color w:val="000000"/>
          <w:sz w:val="20"/>
          <w:szCs w:val="20"/>
        </w:rPr>
      </w:pPr>
      <w:r>
        <w:rPr>
          <w:b/>
          <w:color w:val="000000"/>
          <w:sz w:val="20"/>
          <w:szCs w:val="20"/>
        </w:rPr>
        <w:lastRenderedPageBreak/>
        <w:t xml:space="preserve">Figura </w:t>
      </w:r>
      <w:r w:rsidR="008B5A81">
        <w:rPr>
          <w:b/>
          <w:color w:val="000000"/>
          <w:sz w:val="20"/>
          <w:szCs w:val="20"/>
        </w:rPr>
        <w:t>9</w:t>
      </w:r>
    </w:p>
    <w:p w14:paraId="00000077" w14:textId="77777777" w:rsidR="00C85E45" w:rsidRDefault="00000000">
      <w:pPr>
        <w:keepNext/>
        <w:pBdr>
          <w:top w:val="nil"/>
          <w:left w:val="nil"/>
          <w:bottom w:val="nil"/>
          <w:right w:val="nil"/>
          <w:between w:val="nil"/>
        </w:pBdr>
        <w:spacing w:line="240" w:lineRule="auto"/>
        <w:rPr>
          <w:i/>
          <w:color w:val="000000"/>
          <w:sz w:val="20"/>
          <w:szCs w:val="20"/>
        </w:rPr>
      </w:pPr>
      <w:r>
        <w:rPr>
          <w:i/>
          <w:color w:val="000000"/>
          <w:sz w:val="20"/>
          <w:szCs w:val="20"/>
        </w:rPr>
        <w:t>Elementos o fases para la implementación de un SGSI</w:t>
      </w:r>
    </w:p>
    <w:p w14:paraId="00000078" w14:textId="77777777" w:rsidR="00C85E45" w:rsidRDefault="00000000">
      <w:pPr>
        <w:jc w:val="center"/>
        <w:rPr>
          <w:sz w:val="20"/>
          <w:szCs w:val="20"/>
        </w:rPr>
      </w:pPr>
      <w:sdt>
        <w:sdtPr>
          <w:tag w:val="goog_rdk_8"/>
          <w:id w:val="-1091697596"/>
        </w:sdtPr>
        <w:sdtContent>
          <w:commentRangeStart w:id="8"/>
        </w:sdtContent>
      </w:sdt>
      <w:r>
        <w:rPr>
          <w:noProof/>
        </w:rPr>
        <w:drawing>
          <wp:inline distT="0" distB="0" distL="0" distR="0" wp14:anchorId="631F5F71" wp14:editId="459D5482">
            <wp:extent cx="5192774" cy="5249942"/>
            <wp:effectExtent l="0" t="0" r="0" b="0"/>
            <wp:docPr id="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t="2937"/>
                    <a:stretch>
                      <a:fillRect/>
                    </a:stretch>
                  </pic:blipFill>
                  <pic:spPr>
                    <a:xfrm>
                      <a:off x="0" y="0"/>
                      <a:ext cx="5192774" cy="5249942"/>
                    </a:xfrm>
                    <a:prstGeom prst="rect">
                      <a:avLst/>
                    </a:prstGeom>
                    <a:ln/>
                  </pic:spPr>
                </pic:pic>
              </a:graphicData>
            </a:graphic>
          </wp:inline>
        </w:drawing>
      </w:r>
      <w:commentRangeEnd w:id="8"/>
      <w:r>
        <w:commentReference w:id="8"/>
      </w:r>
    </w:p>
    <w:p w14:paraId="00000079" w14:textId="77777777" w:rsidR="00C85E45" w:rsidRDefault="00000000">
      <w:pPr>
        <w:pBdr>
          <w:top w:val="nil"/>
          <w:left w:val="nil"/>
          <w:bottom w:val="nil"/>
          <w:right w:val="nil"/>
          <w:between w:val="nil"/>
        </w:pBdr>
        <w:ind w:left="792"/>
        <w:rPr>
          <w:color w:val="000000"/>
          <w:sz w:val="20"/>
          <w:szCs w:val="20"/>
        </w:rPr>
      </w:pPr>
      <w:r>
        <w:rPr>
          <w:color w:val="000000"/>
          <w:sz w:val="20"/>
          <w:szCs w:val="20"/>
        </w:rPr>
        <w:t xml:space="preserve">Nota. Recuperada de </w:t>
      </w:r>
      <w:hyperlink r:id="rId38">
        <w:r>
          <w:rPr>
            <w:color w:val="0563C1"/>
            <w:sz w:val="20"/>
            <w:szCs w:val="20"/>
            <w:u w:val="single"/>
          </w:rPr>
          <w:t>ISO 27001 - Seguridad de la información: norma ISO IEC 27001/27002 (normas-iso.com)</w:t>
        </w:r>
      </w:hyperlink>
    </w:p>
    <w:p w14:paraId="0000007A" w14:textId="77777777" w:rsidR="00C85E45" w:rsidRDefault="00C85E45">
      <w:pPr>
        <w:pBdr>
          <w:top w:val="nil"/>
          <w:left w:val="nil"/>
          <w:bottom w:val="nil"/>
          <w:right w:val="nil"/>
          <w:between w:val="nil"/>
        </w:pBdr>
        <w:ind w:left="792"/>
        <w:rPr>
          <w:color w:val="000000"/>
          <w:sz w:val="20"/>
          <w:szCs w:val="20"/>
        </w:rPr>
      </w:pPr>
    </w:p>
    <w:p w14:paraId="0000007B" w14:textId="77777777" w:rsidR="00C85E45" w:rsidRDefault="00000000">
      <w:pPr>
        <w:jc w:val="both"/>
        <w:rPr>
          <w:sz w:val="20"/>
          <w:szCs w:val="20"/>
        </w:rPr>
      </w:pPr>
      <w:r>
        <w:rPr>
          <w:sz w:val="20"/>
          <w:szCs w:val="20"/>
        </w:rPr>
        <w:t>Esta norma, como todas las normas ISO, adopta la teoría de gestión de la calidad PDCA (también conocida como ciclo de Deming):</w:t>
      </w:r>
    </w:p>
    <w:p w14:paraId="0000007C" w14:textId="77777777" w:rsidR="00C85E45" w:rsidRDefault="00C85E45">
      <w:pPr>
        <w:pBdr>
          <w:top w:val="nil"/>
          <w:left w:val="nil"/>
          <w:bottom w:val="nil"/>
          <w:right w:val="nil"/>
          <w:between w:val="nil"/>
        </w:pBdr>
        <w:ind w:left="792"/>
        <w:rPr>
          <w:color w:val="000000"/>
          <w:sz w:val="20"/>
          <w:szCs w:val="20"/>
        </w:rPr>
      </w:pPr>
    </w:p>
    <w:p w14:paraId="0000007D" w14:textId="62EC9AB6" w:rsidR="00C85E45" w:rsidRDefault="00000000">
      <w:pPr>
        <w:numPr>
          <w:ilvl w:val="0"/>
          <w:numId w:val="2"/>
        </w:numPr>
        <w:pBdr>
          <w:top w:val="nil"/>
          <w:left w:val="nil"/>
          <w:bottom w:val="nil"/>
          <w:right w:val="nil"/>
          <w:between w:val="nil"/>
        </w:pBdr>
        <w:jc w:val="both"/>
        <w:rPr>
          <w:color w:val="000000"/>
          <w:sz w:val="20"/>
          <w:szCs w:val="20"/>
        </w:rPr>
      </w:pPr>
      <w:r>
        <w:rPr>
          <w:b/>
          <w:color w:val="000000"/>
          <w:sz w:val="20"/>
          <w:szCs w:val="20"/>
        </w:rPr>
        <w:t>Planificar (“Plan”)</w:t>
      </w:r>
      <w:r>
        <w:rPr>
          <w:color w:val="000000"/>
          <w:sz w:val="20"/>
          <w:szCs w:val="20"/>
        </w:rPr>
        <w:t xml:space="preserve">: </w:t>
      </w:r>
      <w:r w:rsidR="00EF58C1">
        <w:rPr>
          <w:color w:val="000000"/>
          <w:sz w:val="20"/>
          <w:szCs w:val="20"/>
        </w:rPr>
        <w:t>p</w:t>
      </w:r>
      <w:r>
        <w:rPr>
          <w:color w:val="000000"/>
          <w:sz w:val="20"/>
          <w:szCs w:val="20"/>
        </w:rPr>
        <w:t>rimera etapa del diseño del SGSI, en la que se realiza la identificación inicial de los riesgos asociados con la Seguridad de la Información. Esta cuestión se complementa con un análisis cualitativo y cuantitativo (si es necesario) de los riesgos identificados y la planificación de la respuesta y los controles necesarios para la mitigación de estos.</w:t>
      </w:r>
    </w:p>
    <w:p w14:paraId="0000007E" w14:textId="77777777" w:rsidR="00C85E45" w:rsidRDefault="00000000">
      <w:pPr>
        <w:numPr>
          <w:ilvl w:val="0"/>
          <w:numId w:val="2"/>
        </w:numPr>
        <w:pBdr>
          <w:top w:val="nil"/>
          <w:left w:val="nil"/>
          <w:bottom w:val="nil"/>
          <w:right w:val="nil"/>
          <w:between w:val="nil"/>
        </w:pBdr>
        <w:jc w:val="both"/>
        <w:rPr>
          <w:color w:val="000000"/>
          <w:sz w:val="20"/>
          <w:szCs w:val="20"/>
        </w:rPr>
      </w:pPr>
      <w:r>
        <w:rPr>
          <w:b/>
          <w:color w:val="000000"/>
          <w:sz w:val="20"/>
          <w:szCs w:val="20"/>
        </w:rPr>
        <w:t>Hacer (“Do”)</w:t>
      </w:r>
      <w:r>
        <w:rPr>
          <w:color w:val="000000"/>
          <w:sz w:val="20"/>
          <w:szCs w:val="20"/>
        </w:rPr>
        <w:t>: implantación y operación del Sistema de Gestión de Seguridad de la Información definido y desarrollado.</w:t>
      </w:r>
    </w:p>
    <w:p w14:paraId="0000007F" w14:textId="77777777" w:rsidR="00C85E45" w:rsidRDefault="00000000">
      <w:pPr>
        <w:numPr>
          <w:ilvl w:val="0"/>
          <w:numId w:val="2"/>
        </w:numPr>
        <w:pBdr>
          <w:top w:val="nil"/>
          <w:left w:val="nil"/>
          <w:bottom w:val="nil"/>
          <w:right w:val="nil"/>
          <w:between w:val="nil"/>
        </w:pBdr>
        <w:jc w:val="both"/>
        <w:rPr>
          <w:color w:val="000000"/>
          <w:sz w:val="20"/>
          <w:szCs w:val="20"/>
        </w:rPr>
      </w:pPr>
      <w:r>
        <w:rPr>
          <w:b/>
          <w:color w:val="000000"/>
          <w:sz w:val="20"/>
          <w:szCs w:val="20"/>
        </w:rPr>
        <w:t>Verificar (“</w:t>
      </w:r>
      <w:r>
        <w:rPr>
          <w:b/>
          <w:i/>
          <w:color w:val="000000"/>
          <w:sz w:val="20"/>
          <w:szCs w:val="20"/>
        </w:rPr>
        <w:t>Check</w:t>
      </w:r>
      <w:r>
        <w:rPr>
          <w:b/>
          <w:color w:val="000000"/>
          <w:sz w:val="20"/>
          <w:szCs w:val="20"/>
        </w:rPr>
        <w:t>”)</w:t>
      </w:r>
      <w:r>
        <w:rPr>
          <w:color w:val="000000"/>
          <w:sz w:val="20"/>
          <w:szCs w:val="20"/>
        </w:rPr>
        <w:t>: revisar y evaluar su eficacia y eficiencia. Si el desempeño no es el esperado, analizar las causas y determinar las mejoras.</w:t>
      </w:r>
    </w:p>
    <w:p w14:paraId="00000080" w14:textId="77777777" w:rsidR="00C85E45" w:rsidRDefault="00000000">
      <w:pPr>
        <w:numPr>
          <w:ilvl w:val="0"/>
          <w:numId w:val="2"/>
        </w:numPr>
        <w:pBdr>
          <w:top w:val="nil"/>
          <w:left w:val="nil"/>
          <w:bottom w:val="nil"/>
          <w:right w:val="nil"/>
          <w:between w:val="nil"/>
        </w:pBdr>
        <w:jc w:val="both"/>
        <w:rPr>
          <w:color w:val="000000"/>
          <w:sz w:val="20"/>
          <w:szCs w:val="20"/>
        </w:rPr>
      </w:pPr>
      <w:r>
        <w:rPr>
          <w:b/>
          <w:color w:val="000000"/>
          <w:sz w:val="20"/>
          <w:szCs w:val="20"/>
        </w:rPr>
        <w:lastRenderedPageBreak/>
        <w:t>Actuar (“Act”)</w:t>
      </w:r>
      <w:r>
        <w:rPr>
          <w:color w:val="000000"/>
          <w:sz w:val="20"/>
          <w:szCs w:val="20"/>
        </w:rPr>
        <w:t>: mejora continua del SGSI.</w:t>
      </w:r>
    </w:p>
    <w:p w14:paraId="00000081" w14:textId="77777777" w:rsidR="00C85E45" w:rsidRDefault="00C85E45">
      <w:pPr>
        <w:pBdr>
          <w:top w:val="nil"/>
          <w:left w:val="nil"/>
          <w:bottom w:val="nil"/>
          <w:right w:val="nil"/>
          <w:between w:val="nil"/>
        </w:pBdr>
        <w:ind w:left="792"/>
        <w:rPr>
          <w:color w:val="000000"/>
          <w:sz w:val="20"/>
          <w:szCs w:val="20"/>
        </w:rPr>
      </w:pPr>
    </w:p>
    <w:p w14:paraId="00000082" w14:textId="77777777" w:rsidR="00C85E45" w:rsidRDefault="00000000">
      <w:pPr>
        <w:numPr>
          <w:ilvl w:val="0"/>
          <w:numId w:val="4"/>
        </w:numPr>
        <w:pBdr>
          <w:top w:val="nil"/>
          <w:left w:val="nil"/>
          <w:bottom w:val="nil"/>
          <w:right w:val="nil"/>
          <w:between w:val="nil"/>
        </w:pBdr>
        <w:ind w:left="360"/>
        <w:rPr>
          <w:b/>
          <w:color w:val="000000"/>
          <w:sz w:val="20"/>
          <w:szCs w:val="20"/>
        </w:rPr>
      </w:pPr>
      <w:r>
        <w:rPr>
          <w:b/>
          <w:color w:val="000000"/>
          <w:sz w:val="20"/>
          <w:szCs w:val="20"/>
        </w:rPr>
        <w:t>ISO/IEC 27032 – Marco de Ciberseguridad</w:t>
      </w:r>
    </w:p>
    <w:p w14:paraId="00000083" w14:textId="77777777" w:rsidR="00C85E45" w:rsidRDefault="00C85E45">
      <w:pPr>
        <w:rPr>
          <w:sz w:val="20"/>
          <w:szCs w:val="20"/>
        </w:rPr>
      </w:pPr>
    </w:p>
    <w:p w14:paraId="00000084" w14:textId="77777777" w:rsidR="00C85E45" w:rsidRDefault="00000000">
      <w:pPr>
        <w:rPr>
          <w:sz w:val="20"/>
          <w:szCs w:val="20"/>
        </w:rPr>
      </w:pPr>
      <w:r>
        <w:rPr>
          <w:sz w:val="20"/>
          <w:szCs w:val="20"/>
        </w:rPr>
        <w:t>Esta norma internacional permite la adopción de entornos de ciberseguridad de colaboración segura y fiables, que garanticen la seguridad de la información.</w:t>
      </w:r>
    </w:p>
    <w:p w14:paraId="00000085" w14:textId="77777777" w:rsidR="00C85E45" w:rsidRDefault="00C85E45">
      <w:pPr>
        <w:jc w:val="both"/>
        <w:rPr>
          <w:sz w:val="20"/>
          <w:szCs w:val="20"/>
        </w:rPr>
      </w:pPr>
    </w:p>
    <w:p w14:paraId="00000086" w14:textId="77777777" w:rsidR="00C85E45" w:rsidRDefault="00000000">
      <w:pPr>
        <w:jc w:val="both"/>
        <w:rPr>
          <w:sz w:val="20"/>
          <w:szCs w:val="20"/>
        </w:rPr>
      </w:pPr>
      <w:r>
        <w:rPr>
          <w:sz w:val="20"/>
          <w:szCs w:val="20"/>
        </w:rPr>
        <w:t>Esta norma ofrece los lineamientos y buenas prácticas para la adopción de la seguridad de la información en el ciberespacio.</w:t>
      </w:r>
    </w:p>
    <w:p w14:paraId="00000087" w14:textId="77777777" w:rsidR="00C85E45" w:rsidRDefault="00C85E45">
      <w:pPr>
        <w:jc w:val="both"/>
        <w:rPr>
          <w:sz w:val="20"/>
          <w:szCs w:val="20"/>
        </w:rPr>
      </w:pPr>
    </w:p>
    <w:p w14:paraId="00000088" w14:textId="77777777" w:rsidR="00C85E45" w:rsidRDefault="00000000">
      <w:pPr>
        <w:jc w:val="both"/>
        <w:rPr>
          <w:sz w:val="20"/>
          <w:szCs w:val="20"/>
        </w:rPr>
      </w:pPr>
      <w:r>
        <w:rPr>
          <w:sz w:val="20"/>
          <w:szCs w:val="20"/>
        </w:rPr>
        <w:t xml:space="preserve">Esta norma fue establecida para abordar los aspectos de ciberseguridad que no se habían tocado en otras normas y facilitar la cooperación entre otros marcos y estándares, como CSF, </w:t>
      </w:r>
      <w:r>
        <w:rPr>
          <w:i/>
          <w:sz w:val="20"/>
          <w:szCs w:val="20"/>
        </w:rPr>
        <w:t xml:space="preserve">CyberSecurity Framework </w:t>
      </w:r>
      <w:r>
        <w:rPr>
          <w:sz w:val="20"/>
          <w:szCs w:val="20"/>
        </w:rPr>
        <w:t>y el Marco de Ciberseguridad del NITS.</w:t>
      </w:r>
    </w:p>
    <w:p w14:paraId="00000089" w14:textId="77777777" w:rsidR="00C85E45" w:rsidRDefault="00C85E45">
      <w:pPr>
        <w:rPr>
          <w:sz w:val="20"/>
          <w:szCs w:val="20"/>
        </w:rPr>
      </w:pPr>
    </w:p>
    <w:p w14:paraId="0000008A" w14:textId="77777777" w:rsidR="00C85E45" w:rsidRDefault="00000000">
      <w:pPr>
        <w:rPr>
          <w:sz w:val="20"/>
          <w:szCs w:val="20"/>
        </w:rPr>
      </w:pPr>
      <w:r>
        <w:rPr>
          <w:sz w:val="20"/>
          <w:szCs w:val="20"/>
        </w:rPr>
        <w:t>Su enfoque se realiza sobre 4 ejes:</w:t>
      </w:r>
    </w:p>
    <w:p w14:paraId="0000008B" w14:textId="77777777" w:rsidR="00C85E45" w:rsidRDefault="00C85E45">
      <w:pPr>
        <w:rPr>
          <w:sz w:val="20"/>
          <w:szCs w:val="20"/>
        </w:rPr>
      </w:pPr>
    </w:p>
    <w:p w14:paraId="0000008C" w14:textId="77777777" w:rsidR="00C85E45" w:rsidRDefault="00000000">
      <w:pPr>
        <w:numPr>
          <w:ilvl w:val="0"/>
          <w:numId w:val="3"/>
        </w:numPr>
        <w:pBdr>
          <w:top w:val="nil"/>
          <w:left w:val="nil"/>
          <w:bottom w:val="nil"/>
          <w:right w:val="nil"/>
          <w:between w:val="nil"/>
        </w:pBdr>
        <w:rPr>
          <w:color w:val="000000"/>
          <w:sz w:val="20"/>
          <w:szCs w:val="20"/>
        </w:rPr>
      </w:pPr>
      <w:r>
        <w:rPr>
          <w:color w:val="000000"/>
          <w:sz w:val="20"/>
          <w:szCs w:val="20"/>
        </w:rPr>
        <w:t>Seguridad de la información.</w:t>
      </w:r>
    </w:p>
    <w:p w14:paraId="0000008D" w14:textId="77777777" w:rsidR="00C85E45" w:rsidRDefault="00000000">
      <w:pPr>
        <w:numPr>
          <w:ilvl w:val="0"/>
          <w:numId w:val="3"/>
        </w:numPr>
        <w:pBdr>
          <w:top w:val="nil"/>
          <w:left w:val="nil"/>
          <w:bottom w:val="nil"/>
          <w:right w:val="nil"/>
          <w:between w:val="nil"/>
        </w:pBdr>
        <w:rPr>
          <w:color w:val="000000"/>
          <w:sz w:val="20"/>
          <w:szCs w:val="20"/>
        </w:rPr>
      </w:pPr>
      <w:r>
        <w:rPr>
          <w:color w:val="000000"/>
          <w:sz w:val="20"/>
          <w:szCs w:val="20"/>
        </w:rPr>
        <w:t>Seguridad de las redes.</w:t>
      </w:r>
    </w:p>
    <w:p w14:paraId="0000008E" w14:textId="77777777" w:rsidR="00C85E45" w:rsidRDefault="00000000">
      <w:pPr>
        <w:numPr>
          <w:ilvl w:val="0"/>
          <w:numId w:val="3"/>
        </w:numPr>
        <w:pBdr>
          <w:top w:val="nil"/>
          <w:left w:val="nil"/>
          <w:bottom w:val="nil"/>
          <w:right w:val="nil"/>
          <w:between w:val="nil"/>
        </w:pBdr>
        <w:rPr>
          <w:color w:val="000000"/>
          <w:sz w:val="20"/>
          <w:szCs w:val="20"/>
        </w:rPr>
      </w:pPr>
      <w:r>
        <w:rPr>
          <w:color w:val="000000"/>
          <w:sz w:val="20"/>
          <w:szCs w:val="20"/>
        </w:rPr>
        <w:t>Seguridad en Internet.</w:t>
      </w:r>
    </w:p>
    <w:p w14:paraId="0000008F" w14:textId="77777777" w:rsidR="00C85E45" w:rsidRDefault="00000000">
      <w:pPr>
        <w:numPr>
          <w:ilvl w:val="0"/>
          <w:numId w:val="3"/>
        </w:numPr>
        <w:pBdr>
          <w:top w:val="nil"/>
          <w:left w:val="nil"/>
          <w:bottom w:val="nil"/>
          <w:right w:val="nil"/>
          <w:between w:val="nil"/>
        </w:pBdr>
        <w:rPr>
          <w:color w:val="000000"/>
          <w:sz w:val="20"/>
          <w:szCs w:val="20"/>
        </w:rPr>
      </w:pPr>
      <w:r>
        <w:rPr>
          <w:color w:val="000000"/>
          <w:sz w:val="20"/>
          <w:szCs w:val="20"/>
        </w:rPr>
        <w:t>Protección de infraestructuras críticas para la información.</w:t>
      </w:r>
    </w:p>
    <w:p w14:paraId="00000090" w14:textId="77777777" w:rsidR="00C85E45" w:rsidRDefault="00C85E45">
      <w:pPr>
        <w:rPr>
          <w:sz w:val="20"/>
          <w:szCs w:val="20"/>
        </w:rPr>
      </w:pPr>
    </w:p>
    <w:p w14:paraId="00000091" w14:textId="77777777" w:rsidR="00C85E45" w:rsidRDefault="00000000">
      <w:pPr>
        <w:rPr>
          <w:sz w:val="20"/>
          <w:szCs w:val="20"/>
        </w:rPr>
      </w:pPr>
      <w:r>
        <w:rPr>
          <w:sz w:val="20"/>
          <w:szCs w:val="20"/>
        </w:rPr>
        <w:t>Entre sus principales objetivos se encuentran:</w:t>
      </w:r>
    </w:p>
    <w:p w14:paraId="00000092" w14:textId="77777777" w:rsidR="00C85E45" w:rsidRDefault="00C85E45">
      <w:pPr>
        <w:rPr>
          <w:sz w:val="20"/>
          <w:szCs w:val="20"/>
        </w:rPr>
      </w:pPr>
    </w:p>
    <w:p w14:paraId="00000093" w14:textId="77777777" w:rsidR="00C85E45" w:rsidRDefault="00000000">
      <w:pPr>
        <w:numPr>
          <w:ilvl w:val="0"/>
          <w:numId w:val="5"/>
        </w:numPr>
        <w:pBdr>
          <w:top w:val="nil"/>
          <w:left w:val="nil"/>
          <w:bottom w:val="nil"/>
          <w:right w:val="nil"/>
          <w:between w:val="nil"/>
        </w:pBdr>
        <w:rPr>
          <w:color w:val="000000"/>
          <w:sz w:val="20"/>
          <w:szCs w:val="20"/>
        </w:rPr>
      </w:pPr>
      <w:r>
        <w:rPr>
          <w:color w:val="000000"/>
          <w:sz w:val="20"/>
          <w:szCs w:val="20"/>
        </w:rPr>
        <w:t>Ofrecer seguridad a todo el ciberespacio de la empresa.</w:t>
      </w:r>
    </w:p>
    <w:p w14:paraId="00000094" w14:textId="77777777" w:rsidR="00C85E45" w:rsidRDefault="00000000">
      <w:pPr>
        <w:numPr>
          <w:ilvl w:val="0"/>
          <w:numId w:val="5"/>
        </w:numPr>
        <w:pBdr>
          <w:top w:val="nil"/>
          <w:left w:val="nil"/>
          <w:bottom w:val="nil"/>
          <w:right w:val="nil"/>
          <w:between w:val="nil"/>
        </w:pBdr>
        <w:rPr>
          <w:color w:val="000000"/>
          <w:sz w:val="20"/>
          <w:szCs w:val="20"/>
        </w:rPr>
      </w:pPr>
      <w:r>
        <w:rPr>
          <w:color w:val="000000"/>
          <w:sz w:val="20"/>
          <w:szCs w:val="20"/>
        </w:rPr>
        <w:t>Tener un plan de acción en caso de que se llegue a presentar una crisis.</w:t>
      </w:r>
    </w:p>
    <w:p w14:paraId="00000095" w14:textId="77777777" w:rsidR="00C85E45" w:rsidRDefault="00000000">
      <w:pPr>
        <w:numPr>
          <w:ilvl w:val="0"/>
          <w:numId w:val="5"/>
        </w:numPr>
        <w:pBdr>
          <w:top w:val="nil"/>
          <w:left w:val="nil"/>
          <w:bottom w:val="nil"/>
          <w:right w:val="nil"/>
          <w:between w:val="nil"/>
        </w:pBdr>
        <w:rPr>
          <w:color w:val="000000"/>
          <w:sz w:val="20"/>
          <w:szCs w:val="20"/>
        </w:rPr>
      </w:pPr>
      <w:r>
        <w:rPr>
          <w:color w:val="000000"/>
          <w:sz w:val="20"/>
          <w:szCs w:val="20"/>
        </w:rPr>
        <w:t>Planificar la resolución de incidentes.</w:t>
      </w:r>
    </w:p>
    <w:p w14:paraId="00000096" w14:textId="77777777" w:rsidR="00C85E45" w:rsidRDefault="00000000">
      <w:pPr>
        <w:numPr>
          <w:ilvl w:val="0"/>
          <w:numId w:val="5"/>
        </w:numPr>
        <w:pBdr>
          <w:top w:val="nil"/>
          <w:left w:val="nil"/>
          <w:bottom w:val="nil"/>
          <w:right w:val="nil"/>
          <w:between w:val="nil"/>
        </w:pBdr>
        <w:rPr>
          <w:color w:val="000000"/>
          <w:sz w:val="20"/>
          <w:szCs w:val="20"/>
        </w:rPr>
      </w:pPr>
      <w:r>
        <w:rPr>
          <w:color w:val="000000"/>
          <w:sz w:val="20"/>
          <w:szCs w:val="20"/>
        </w:rPr>
        <w:t>Brindar capacitaciones a los miembros de la organización en todo lo relacionado con ciberseguridad y sus riesgos.</w:t>
      </w:r>
    </w:p>
    <w:p w14:paraId="00000097" w14:textId="77777777" w:rsidR="00C85E45" w:rsidRDefault="00000000">
      <w:pPr>
        <w:numPr>
          <w:ilvl w:val="0"/>
          <w:numId w:val="5"/>
        </w:numPr>
        <w:pBdr>
          <w:top w:val="nil"/>
          <w:left w:val="nil"/>
          <w:bottom w:val="nil"/>
          <w:right w:val="nil"/>
          <w:between w:val="nil"/>
        </w:pBdr>
        <w:rPr>
          <w:color w:val="000000"/>
          <w:sz w:val="20"/>
          <w:szCs w:val="20"/>
        </w:rPr>
      </w:pPr>
      <w:r>
        <w:rPr>
          <w:color w:val="000000"/>
          <w:sz w:val="20"/>
          <w:szCs w:val="20"/>
        </w:rPr>
        <w:t>Crear alertas que permitan identificar alguna amenaza que pueda poner en peligro los activos de la empresa.</w:t>
      </w:r>
    </w:p>
    <w:p w14:paraId="00000098" w14:textId="77777777" w:rsidR="00C85E45" w:rsidRDefault="00000000">
      <w:pPr>
        <w:numPr>
          <w:ilvl w:val="0"/>
          <w:numId w:val="5"/>
        </w:numPr>
        <w:pBdr>
          <w:top w:val="nil"/>
          <w:left w:val="nil"/>
          <w:bottom w:val="nil"/>
          <w:right w:val="nil"/>
          <w:between w:val="nil"/>
        </w:pBdr>
        <w:rPr>
          <w:color w:val="000000"/>
          <w:sz w:val="20"/>
          <w:szCs w:val="20"/>
        </w:rPr>
      </w:pPr>
      <w:r>
        <w:rPr>
          <w:color w:val="000000"/>
          <w:sz w:val="20"/>
          <w:szCs w:val="20"/>
        </w:rPr>
        <w:t>Contar con una estrategia para combatir los riesgos que se puedan presentar o que se lleguen a materializar.</w:t>
      </w:r>
    </w:p>
    <w:p w14:paraId="00000099" w14:textId="77777777" w:rsidR="00C85E45" w:rsidRDefault="00000000">
      <w:pPr>
        <w:numPr>
          <w:ilvl w:val="0"/>
          <w:numId w:val="5"/>
        </w:numPr>
        <w:pBdr>
          <w:top w:val="nil"/>
          <w:left w:val="nil"/>
          <w:bottom w:val="nil"/>
          <w:right w:val="nil"/>
          <w:between w:val="nil"/>
        </w:pBdr>
        <w:rPr>
          <w:color w:val="000000"/>
          <w:sz w:val="20"/>
          <w:szCs w:val="20"/>
        </w:rPr>
      </w:pPr>
      <w:r>
        <w:rPr>
          <w:color w:val="000000"/>
          <w:sz w:val="20"/>
          <w:szCs w:val="20"/>
        </w:rPr>
        <w:t>Identificar los riesgos que se puedan presentar en este aspecto.</w:t>
      </w:r>
    </w:p>
    <w:p w14:paraId="0000009A" w14:textId="77777777" w:rsidR="00C85E45" w:rsidRDefault="00C85E45">
      <w:pPr>
        <w:pBdr>
          <w:top w:val="nil"/>
          <w:left w:val="nil"/>
          <w:bottom w:val="nil"/>
          <w:right w:val="nil"/>
          <w:between w:val="nil"/>
        </w:pBdr>
        <w:ind w:left="792"/>
        <w:rPr>
          <w:color w:val="000000"/>
          <w:sz w:val="20"/>
          <w:szCs w:val="20"/>
        </w:rPr>
      </w:pPr>
    </w:p>
    <w:p w14:paraId="0000009B" w14:textId="77777777" w:rsidR="00C85E45" w:rsidRDefault="00000000">
      <w:pPr>
        <w:numPr>
          <w:ilvl w:val="0"/>
          <w:numId w:val="4"/>
        </w:numPr>
        <w:pBdr>
          <w:top w:val="nil"/>
          <w:left w:val="nil"/>
          <w:bottom w:val="nil"/>
          <w:right w:val="nil"/>
          <w:between w:val="nil"/>
        </w:pBdr>
        <w:ind w:left="417"/>
        <w:rPr>
          <w:b/>
          <w:color w:val="000000"/>
          <w:sz w:val="20"/>
          <w:szCs w:val="20"/>
        </w:rPr>
      </w:pPr>
      <w:r>
        <w:rPr>
          <w:b/>
          <w:color w:val="000000"/>
          <w:sz w:val="20"/>
          <w:szCs w:val="20"/>
        </w:rPr>
        <w:t>ISO/IEC 27035 - Gestión de incidentes de seguridad</w:t>
      </w:r>
    </w:p>
    <w:p w14:paraId="0000009C" w14:textId="77777777" w:rsidR="00C85E45" w:rsidRDefault="00C85E45">
      <w:pPr>
        <w:jc w:val="both"/>
        <w:rPr>
          <w:sz w:val="20"/>
          <w:szCs w:val="20"/>
        </w:rPr>
      </w:pPr>
    </w:p>
    <w:p w14:paraId="0000009D" w14:textId="77777777" w:rsidR="00C85E45" w:rsidRDefault="00000000">
      <w:pPr>
        <w:jc w:val="both"/>
        <w:rPr>
          <w:sz w:val="20"/>
          <w:szCs w:val="20"/>
        </w:rPr>
      </w:pPr>
      <w:r>
        <w:rPr>
          <w:sz w:val="20"/>
          <w:szCs w:val="20"/>
        </w:rPr>
        <w:t>Esta norma propone un estándar con las mejores prácticas destinadas a la gestión de incidentes de seguridad de la información identificados en la norma ISO/IEC 27000.</w:t>
      </w:r>
    </w:p>
    <w:p w14:paraId="0000009E" w14:textId="77777777" w:rsidR="00C85E45" w:rsidRDefault="00C85E45">
      <w:pPr>
        <w:pBdr>
          <w:top w:val="nil"/>
          <w:left w:val="nil"/>
          <w:bottom w:val="nil"/>
          <w:right w:val="nil"/>
          <w:between w:val="nil"/>
        </w:pBdr>
        <w:ind w:left="792"/>
        <w:jc w:val="both"/>
        <w:rPr>
          <w:color w:val="000000"/>
          <w:sz w:val="20"/>
          <w:szCs w:val="20"/>
        </w:rPr>
      </w:pPr>
    </w:p>
    <w:p w14:paraId="0000009F" w14:textId="77777777" w:rsidR="00C85E45" w:rsidRDefault="00000000">
      <w:pPr>
        <w:jc w:val="both"/>
        <w:rPr>
          <w:sz w:val="20"/>
          <w:szCs w:val="20"/>
        </w:rPr>
      </w:pPr>
      <w:r>
        <w:rPr>
          <w:sz w:val="20"/>
          <w:szCs w:val="20"/>
        </w:rPr>
        <w:t>El objetivo principal de esta norma es aplicar los mejores controles de seguridad en la organización para evitar los incidentes relativos a la seguridad informática.</w:t>
      </w:r>
    </w:p>
    <w:p w14:paraId="000000A0" w14:textId="77777777" w:rsidR="00C85E45" w:rsidRDefault="00C85E45">
      <w:pPr>
        <w:pBdr>
          <w:top w:val="nil"/>
          <w:left w:val="nil"/>
          <w:bottom w:val="nil"/>
          <w:right w:val="nil"/>
          <w:between w:val="nil"/>
        </w:pBdr>
        <w:ind w:left="792"/>
        <w:jc w:val="both"/>
        <w:rPr>
          <w:color w:val="000000"/>
          <w:sz w:val="20"/>
          <w:szCs w:val="20"/>
        </w:rPr>
      </w:pPr>
    </w:p>
    <w:p w14:paraId="000000A1" w14:textId="77777777" w:rsidR="00C85E45" w:rsidRDefault="00000000">
      <w:pPr>
        <w:jc w:val="both"/>
        <w:rPr>
          <w:sz w:val="20"/>
          <w:szCs w:val="20"/>
        </w:rPr>
      </w:pPr>
      <w:r>
        <w:rPr>
          <w:sz w:val="20"/>
          <w:szCs w:val="20"/>
        </w:rPr>
        <w:t>Se enfoca en:</w:t>
      </w:r>
    </w:p>
    <w:p w14:paraId="000000A2" w14:textId="77777777" w:rsidR="00C85E45" w:rsidRDefault="00C85E45">
      <w:pPr>
        <w:jc w:val="both"/>
        <w:rPr>
          <w:sz w:val="20"/>
          <w:szCs w:val="20"/>
        </w:rPr>
      </w:pPr>
    </w:p>
    <w:p w14:paraId="000000A3" w14:textId="77777777" w:rsidR="00C85E45" w:rsidRDefault="00000000">
      <w:pPr>
        <w:numPr>
          <w:ilvl w:val="0"/>
          <w:numId w:val="7"/>
        </w:numPr>
        <w:pBdr>
          <w:top w:val="nil"/>
          <w:left w:val="nil"/>
          <w:bottom w:val="nil"/>
          <w:right w:val="nil"/>
          <w:between w:val="nil"/>
        </w:pBdr>
        <w:jc w:val="both"/>
        <w:rPr>
          <w:color w:val="000000"/>
          <w:sz w:val="20"/>
          <w:szCs w:val="20"/>
        </w:rPr>
      </w:pPr>
      <w:r>
        <w:rPr>
          <w:color w:val="000000"/>
          <w:sz w:val="20"/>
          <w:szCs w:val="20"/>
        </w:rPr>
        <w:t>Identificar, comunicar y evaluar los incidentes de la seguridad de la información.</w:t>
      </w:r>
    </w:p>
    <w:p w14:paraId="000000A4" w14:textId="77777777" w:rsidR="00C85E45" w:rsidRDefault="00000000">
      <w:pPr>
        <w:numPr>
          <w:ilvl w:val="0"/>
          <w:numId w:val="7"/>
        </w:numPr>
        <w:pBdr>
          <w:top w:val="nil"/>
          <w:left w:val="nil"/>
          <w:bottom w:val="nil"/>
          <w:right w:val="nil"/>
          <w:between w:val="nil"/>
        </w:pBdr>
        <w:jc w:val="both"/>
        <w:rPr>
          <w:color w:val="000000"/>
          <w:sz w:val="20"/>
          <w:szCs w:val="20"/>
        </w:rPr>
      </w:pPr>
      <w:r>
        <w:rPr>
          <w:color w:val="000000"/>
          <w:sz w:val="20"/>
          <w:szCs w:val="20"/>
        </w:rPr>
        <w:t>Contestar, gestionar los incidentes de la seguridad de la información.</w:t>
      </w:r>
    </w:p>
    <w:p w14:paraId="000000A5" w14:textId="77777777" w:rsidR="00C85E45" w:rsidRDefault="00000000">
      <w:pPr>
        <w:numPr>
          <w:ilvl w:val="0"/>
          <w:numId w:val="7"/>
        </w:numPr>
        <w:pBdr>
          <w:top w:val="nil"/>
          <w:left w:val="nil"/>
          <w:bottom w:val="nil"/>
          <w:right w:val="nil"/>
          <w:between w:val="nil"/>
        </w:pBdr>
        <w:jc w:val="both"/>
        <w:rPr>
          <w:color w:val="000000"/>
          <w:sz w:val="20"/>
          <w:szCs w:val="20"/>
        </w:rPr>
      </w:pPr>
      <w:r>
        <w:rPr>
          <w:color w:val="000000"/>
          <w:sz w:val="20"/>
          <w:szCs w:val="20"/>
        </w:rPr>
        <w:t>Identificar, examinar y gestionar las vulnerabilidades de seguridad de la información.</w:t>
      </w:r>
    </w:p>
    <w:p w14:paraId="000000A6" w14:textId="77777777" w:rsidR="00C85E45" w:rsidRDefault="00000000">
      <w:pPr>
        <w:numPr>
          <w:ilvl w:val="0"/>
          <w:numId w:val="7"/>
        </w:numPr>
        <w:pBdr>
          <w:top w:val="nil"/>
          <w:left w:val="nil"/>
          <w:bottom w:val="nil"/>
          <w:right w:val="nil"/>
          <w:between w:val="nil"/>
        </w:pBdr>
        <w:jc w:val="both"/>
        <w:rPr>
          <w:color w:val="000000"/>
          <w:sz w:val="20"/>
          <w:szCs w:val="20"/>
        </w:rPr>
      </w:pPr>
      <w:r>
        <w:rPr>
          <w:color w:val="000000"/>
          <w:sz w:val="20"/>
          <w:szCs w:val="20"/>
        </w:rPr>
        <w:lastRenderedPageBreak/>
        <w:t>Aumentar la mejora de la continuidad de la seguridad de la información y de la gestión de los incidentes, como respuesta a la gestión de incidentes de la seguridad de la información y de las vulnerabilidades.</w:t>
      </w:r>
    </w:p>
    <w:p w14:paraId="000000A7" w14:textId="77777777" w:rsidR="00C85E45" w:rsidRDefault="00C85E45">
      <w:pPr>
        <w:jc w:val="both"/>
        <w:rPr>
          <w:sz w:val="20"/>
          <w:szCs w:val="20"/>
        </w:rPr>
      </w:pPr>
    </w:p>
    <w:p w14:paraId="000000A8" w14:textId="77777777" w:rsidR="00C85E45" w:rsidRDefault="00000000">
      <w:pPr>
        <w:jc w:val="both"/>
        <w:rPr>
          <w:sz w:val="20"/>
          <w:szCs w:val="20"/>
        </w:rPr>
      </w:pPr>
      <w:r>
        <w:rPr>
          <w:sz w:val="20"/>
          <w:szCs w:val="20"/>
        </w:rPr>
        <w:t>La norma consolida un proceso con 5 etapas primordiales, que son:</w:t>
      </w:r>
    </w:p>
    <w:p w14:paraId="000000A9" w14:textId="77777777" w:rsidR="00C85E45" w:rsidRDefault="00C85E45">
      <w:pPr>
        <w:jc w:val="both"/>
        <w:rPr>
          <w:sz w:val="20"/>
          <w:szCs w:val="20"/>
        </w:rPr>
      </w:pPr>
    </w:p>
    <w:p w14:paraId="000000AA" w14:textId="77777777" w:rsidR="00C85E45" w:rsidRDefault="00000000">
      <w:pPr>
        <w:numPr>
          <w:ilvl w:val="0"/>
          <w:numId w:val="6"/>
        </w:numPr>
        <w:pBdr>
          <w:top w:val="nil"/>
          <w:left w:val="nil"/>
          <w:bottom w:val="nil"/>
          <w:right w:val="nil"/>
          <w:between w:val="nil"/>
        </w:pBdr>
        <w:jc w:val="both"/>
        <w:rPr>
          <w:color w:val="000000"/>
          <w:sz w:val="20"/>
          <w:szCs w:val="20"/>
        </w:rPr>
      </w:pPr>
      <w:r>
        <w:rPr>
          <w:color w:val="000000"/>
          <w:sz w:val="20"/>
          <w:szCs w:val="20"/>
        </w:rPr>
        <w:t>Prepararse para enfrentarse a los incidentes.</w:t>
      </w:r>
    </w:p>
    <w:p w14:paraId="000000AB" w14:textId="77777777" w:rsidR="00C85E45" w:rsidRDefault="00000000">
      <w:pPr>
        <w:numPr>
          <w:ilvl w:val="0"/>
          <w:numId w:val="6"/>
        </w:numPr>
        <w:pBdr>
          <w:top w:val="nil"/>
          <w:left w:val="nil"/>
          <w:bottom w:val="nil"/>
          <w:right w:val="nil"/>
          <w:between w:val="nil"/>
        </w:pBdr>
        <w:jc w:val="both"/>
        <w:rPr>
          <w:color w:val="000000"/>
          <w:sz w:val="20"/>
          <w:szCs w:val="20"/>
        </w:rPr>
      </w:pPr>
      <w:r>
        <w:rPr>
          <w:color w:val="000000"/>
          <w:sz w:val="20"/>
          <w:szCs w:val="20"/>
        </w:rPr>
        <w:t>Reconocer los incidentes de seguridad de la información.</w:t>
      </w:r>
    </w:p>
    <w:p w14:paraId="000000AC" w14:textId="77777777" w:rsidR="00C85E45" w:rsidRDefault="00000000">
      <w:pPr>
        <w:numPr>
          <w:ilvl w:val="0"/>
          <w:numId w:val="6"/>
        </w:numPr>
        <w:pBdr>
          <w:top w:val="nil"/>
          <w:left w:val="nil"/>
          <w:bottom w:val="nil"/>
          <w:right w:val="nil"/>
          <w:between w:val="nil"/>
        </w:pBdr>
        <w:jc w:val="both"/>
        <w:rPr>
          <w:color w:val="000000"/>
          <w:sz w:val="20"/>
          <w:szCs w:val="20"/>
        </w:rPr>
      </w:pPr>
      <w:r>
        <w:rPr>
          <w:color w:val="000000"/>
          <w:sz w:val="20"/>
          <w:szCs w:val="20"/>
        </w:rPr>
        <w:t>Examinar los incidentes y tomar las decisiones sobre la forma en que se han llevado a cabo las cosas.</w:t>
      </w:r>
    </w:p>
    <w:p w14:paraId="000000AD" w14:textId="77777777" w:rsidR="00C85E45" w:rsidRDefault="00000000">
      <w:pPr>
        <w:numPr>
          <w:ilvl w:val="0"/>
          <w:numId w:val="6"/>
        </w:numPr>
        <w:pBdr>
          <w:top w:val="nil"/>
          <w:left w:val="nil"/>
          <w:bottom w:val="nil"/>
          <w:right w:val="nil"/>
          <w:between w:val="nil"/>
        </w:pBdr>
        <w:jc w:val="both"/>
        <w:rPr>
          <w:color w:val="000000"/>
          <w:sz w:val="20"/>
          <w:szCs w:val="20"/>
        </w:rPr>
      </w:pPr>
      <w:r>
        <w:rPr>
          <w:color w:val="000000"/>
          <w:sz w:val="20"/>
          <w:szCs w:val="20"/>
        </w:rPr>
        <w:t>Dar respuesta a los incidentes, lo que quiere decir, investigarlos y resolverlos.</w:t>
      </w:r>
    </w:p>
    <w:p w14:paraId="000000AE" w14:textId="77777777" w:rsidR="00C85E45" w:rsidRDefault="00000000">
      <w:pPr>
        <w:numPr>
          <w:ilvl w:val="0"/>
          <w:numId w:val="6"/>
        </w:numPr>
        <w:pBdr>
          <w:top w:val="nil"/>
          <w:left w:val="nil"/>
          <w:bottom w:val="nil"/>
          <w:right w:val="nil"/>
          <w:between w:val="nil"/>
        </w:pBdr>
        <w:jc w:val="both"/>
        <w:rPr>
          <w:color w:val="000000"/>
          <w:sz w:val="20"/>
          <w:szCs w:val="20"/>
        </w:rPr>
      </w:pPr>
      <w:r>
        <w:rPr>
          <w:color w:val="000000"/>
          <w:sz w:val="20"/>
          <w:szCs w:val="20"/>
        </w:rPr>
        <w:t>Aprender de las lecciones.</w:t>
      </w:r>
    </w:p>
    <w:p w14:paraId="000000AF" w14:textId="77777777" w:rsidR="00C85E45" w:rsidRDefault="00C85E45">
      <w:pPr>
        <w:pBdr>
          <w:top w:val="nil"/>
          <w:left w:val="nil"/>
          <w:bottom w:val="nil"/>
          <w:right w:val="nil"/>
          <w:between w:val="nil"/>
        </w:pBdr>
        <w:ind w:left="792"/>
        <w:rPr>
          <w:color w:val="000000"/>
          <w:sz w:val="20"/>
          <w:szCs w:val="20"/>
        </w:rPr>
      </w:pPr>
    </w:p>
    <w:p w14:paraId="000000B0" w14:textId="77777777" w:rsidR="00C85E45" w:rsidRDefault="00000000">
      <w:pPr>
        <w:jc w:val="both"/>
        <w:rPr>
          <w:sz w:val="20"/>
          <w:szCs w:val="20"/>
        </w:rPr>
      </w:pPr>
      <w:bookmarkStart w:id="9" w:name="_heading=h.gjdgxs" w:colFirst="0" w:colLast="0"/>
      <w:bookmarkEnd w:id="9"/>
      <w:r>
        <w:rPr>
          <w:sz w:val="20"/>
          <w:szCs w:val="20"/>
        </w:rPr>
        <w:t>Todas estas normas anteriormente descritas permiten su integración en un marco que se adapte a cualquier organización, bien sea pública o privada, y sin importar su tamaño, permitiendo articular estrategias de gobierno corporativo apoyadas desde la tecnología y con un objetivo claro: garantizar la seguridad de la información.</w:t>
      </w:r>
    </w:p>
    <w:sectPr w:rsidR="00C85E45">
      <w:headerReference w:type="default" r:id="rId39"/>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1-09-20T19:26:00Z" w:initials="">
    <w:p w14:paraId="000000BB" w14:textId="77777777" w:rsidR="00C85E45" w:rsidRDefault="00000000">
      <w:pPr>
        <w:widowControl w:val="0"/>
        <w:pBdr>
          <w:top w:val="nil"/>
          <w:left w:val="nil"/>
          <w:bottom w:val="nil"/>
          <w:right w:val="nil"/>
          <w:between w:val="nil"/>
        </w:pBdr>
        <w:spacing w:line="240" w:lineRule="auto"/>
        <w:rPr>
          <w:color w:val="000000"/>
        </w:rPr>
      </w:pPr>
      <w:r>
        <w:rPr>
          <w:color w:val="000000"/>
        </w:rPr>
        <w:t>Esta gráfica se encuentra, editable, en el archivo:</w:t>
      </w:r>
    </w:p>
    <w:p w14:paraId="000000BC" w14:textId="77777777" w:rsidR="00C85E45" w:rsidRDefault="00C85E45">
      <w:pPr>
        <w:widowControl w:val="0"/>
        <w:pBdr>
          <w:top w:val="nil"/>
          <w:left w:val="nil"/>
          <w:bottom w:val="nil"/>
          <w:right w:val="nil"/>
          <w:between w:val="nil"/>
        </w:pBdr>
        <w:spacing w:line="240" w:lineRule="auto"/>
        <w:rPr>
          <w:color w:val="000000"/>
        </w:rPr>
      </w:pPr>
    </w:p>
    <w:p w14:paraId="000000BD" w14:textId="77777777" w:rsidR="00C85E45" w:rsidRDefault="00000000">
      <w:pPr>
        <w:widowControl w:val="0"/>
        <w:pBdr>
          <w:top w:val="nil"/>
          <w:left w:val="nil"/>
          <w:bottom w:val="nil"/>
          <w:right w:val="nil"/>
          <w:between w:val="nil"/>
        </w:pBdr>
        <w:spacing w:line="240" w:lineRule="auto"/>
        <w:rPr>
          <w:color w:val="000000"/>
        </w:rPr>
      </w:pPr>
      <w:r>
        <w:rPr>
          <w:color w:val="000000"/>
        </w:rPr>
        <w:t>CF_11_graficas de la carpeta Anexos</w:t>
      </w:r>
    </w:p>
  </w:comment>
  <w:comment w:id="1" w:author="user" w:date="2021-09-20T19:27:00Z" w:initials="">
    <w:p w14:paraId="000000B5" w14:textId="77777777" w:rsidR="00C85E45" w:rsidRDefault="00000000">
      <w:pPr>
        <w:widowControl w:val="0"/>
        <w:pBdr>
          <w:top w:val="nil"/>
          <w:left w:val="nil"/>
          <w:bottom w:val="nil"/>
          <w:right w:val="nil"/>
          <w:between w:val="nil"/>
        </w:pBdr>
        <w:spacing w:line="240" w:lineRule="auto"/>
        <w:rPr>
          <w:color w:val="000000"/>
        </w:rPr>
      </w:pPr>
      <w:r>
        <w:rPr>
          <w:color w:val="000000"/>
        </w:rPr>
        <w:t>Esta gráfica se encuentra, editable, en el archivo:</w:t>
      </w:r>
    </w:p>
    <w:p w14:paraId="000000B6" w14:textId="77777777" w:rsidR="00C85E45" w:rsidRDefault="00C85E45">
      <w:pPr>
        <w:widowControl w:val="0"/>
        <w:pBdr>
          <w:top w:val="nil"/>
          <w:left w:val="nil"/>
          <w:bottom w:val="nil"/>
          <w:right w:val="nil"/>
          <w:between w:val="nil"/>
        </w:pBdr>
        <w:spacing w:line="240" w:lineRule="auto"/>
        <w:rPr>
          <w:color w:val="000000"/>
        </w:rPr>
      </w:pPr>
    </w:p>
    <w:p w14:paraId="000000B7" w14:textId="77777777" w:rsidR="00C85E45" w:rsidRDefault="00000000">
      <w:pPr>
        <w:widowControl w:val="0"/>
        <w:pBdr>
          <w:top w:val="nil"/>
          <w:left w:val="nil"/>
          <w:bottom w:val="nil"/>
          <w:right w:val="nil"/>
          <w:between w:val="nil"/>
        </w:pBdr>
        <w:spacing w:line="240" w:lineRule="auto"/>
        <w:rPr>
          <w:color w:val="000000"/>
        </w:rPr>
      </w:pPr>
      <w:r>
        <w:rPr>
          <w:color w:val="000000"/>
        </w:rPr>
        <w:t>CF_11_graficas de la carpeta Anexos</w:t>
      </w:r>
    </w:p>
  </w:comment>
  <w:comment w:id="2" w:author="user" w:date="2021-09-20T19:31:00Z" w:initials="">
    <w:p w14:paraId="000000C7" w14:textId="77777777" w:rsidR="00C85E45" w:rsidRDefault="00000000">
      <w:pPr>
        <w:widowControl w:val="0"/>
        <w:pBdr>
          <w:top w:val="nil"/>
          <w:left w:val="nil"/>
          <w:bottom w:val="nil"/>
          <w:right w:val="nil"/>
          <w:between w:val="nil"/>
        </w:pBdr>
        <w:spacing w:line="240" w:lineRule="auto"/>
        <w:rPr>
          <w:color w:val="000000"/>
        </w:rPr>
      </w:pPr>
      <w:r>
        <w:rPr>
          <w:color w:val="000000"/>
        </w:rPr>
        <w:t>Esta gráfica se encuentra, editable, en el archivo:</w:t>
      </w:r>
    </w:p>
    <w:p w14:paraId="000000C8" w14:textId="77777777" w:rsidR="00C85E45" w:rsidRDefault="00C85E45">
      <w:pPr>
        <w:widowControl w:val="0"/>
        <w:pBdr>
          <w:top w:val="nil"/>
          <w:left w:val="nil"/>
          <w:bottom w:val="nil"/>
          <w:right w:val="nil"/>
          <w:between w:val="nil"/>
        </w:pBdr>
        <w:spacing w:line="240" w:lineRule="auto"/>
        <w:rPr>
          <w:color w:val="000000"/>
        </w:rPr>
      </w:pPr>
    </w:p>
    <w:p w14:paraId="000000C9" w14:textId="77777777" w:rsidR="00C85E45" w:rsidRDefault="00000000">
      <w:pPr>
        <w:widowControl w:val="0"/>
        <w:pBdr>
          <w:top w:val="nil"/>
          <w:left w:val="nil"/>
          <w:bottom w:val="nil"/>
          <w:right w:val="nil"/>
          <w:between w:val="nil"/>
        </w:pBdr>
        <w:spacing w:line="240" w:lineRule="auto"/>
        <w:rPr>
          <w:color w:val="000000"/>
        </w:rPr>
      </w:pPr>
      <w:r>
        <w:rPr>
          <w:color w:val="000000"/>
        </w:rPr>
        <w:t>CF_11_graficas de la carpeta Anexos</w:t>
      </w:r>
    </w:p>
  </w:comment>
  <w:comment w:id="3" w:author="user" w:date="2021-09-20T19:35:00Z" w:initials="">
    <w:p w14:paraId="000000CA" w14:textId="77777777" w:rsidR="00C85E45" w:rsidRDefault="00000000">
      <w:pPr>
        <w:widowControl w:val="0"/>
        <w:pBdr>
          <w:top w:val="nil"/>
          <w:left w:val="nil"/>
          <w:bottom w:val="nil"/>
          <w:right w:val="nil"/>
          <w:between w:val="nil"/>
        </w:pBdr>
        <w:spacing w:line="240" w:lineRule="auto"/>
        <w:rPr>
          <w:color w:val="000000"/>
        </w:rPr>
      </w:pPr>
      <w:r>
        <w:rPr>
          <w:color w:val="000000"/>
        </w:rPr>
        <w:t>Esta gráfica se encuentra, editable, en el archivo:</w:t>
      </w:r>
    </w:p>
    <w:p w14:paraId="000000CB" w14:textId="77777777" w:rsidR="00C85E45" w:rsidRDefault="00C85E45">
      <w:pPr>
        <w:widowControl w:val="0"/>
        <w:pBdr>
          <w:top w:val="nil"/>
          <w:left w:val="nil"/>
          <w:bottom w:val="nil"/>
          <w:right w:val="nil"/>
          <w:between w:val="nil"/>
        </w:pBdr>
        <w:spacing w:line="240" w:lineRule="auto"/>
        <w:rPr>
          <w:color w:val="000000"/>
        </w:rPr>
      </w:pPr>
    </w:p>
    <w:p w14:paraId="000000CC" w14:textId="77777777" w:rsidR="00C85E45" w:rsidRDefault="00000000">
      <w:pPr>
        <w:widowControl w:val="0"/>
        <w:pBdr>
          <w:top w:val="nil"/>
          <w:left w:val="nil"/>
          <w:bottom w:val="nil"/>
          <w:right w:val="nil"/>
          <w:between w:val="nil"/>
        </w:pBdr>
        <w:spacing w:line="240" w:lineRule="auto"/>
        <w:rPr>
          <w:color w:val="000000"/>
        </w:rPr>
      </w:pPr>
      <w:r>
        <w:rPr>
          <w:color w:val="000000"/>
        </w:rPr>
        <w:t>CF_11_graficas de la carpeta Anexos</w:t>
      </w:r>
    </w:p>
  </w:comment>
  <w:comment w:id="4" w:author="user" w:date="2021-09-20T21:08:00Z" w:initials="">
    <w:p w14:paraId="000000C4" w14:textId="77777777" w:rsidR="00C85E45" w:rsidRDefault="00000000">
      <w:pPr>
        <w:widowControl w:val="0"/>
        <w:pBdr>
          <w:top w:val="nil"/>
          <w:left w:val="nil"/>
          <w:bottom w:val="nil"/>
          <w:right w:val="nil"/>
          <w:between w:val="nil"/>
        </w:pBdr>
        <w:spacing w:line="240" w:lineRule="auto"/>
        <w:rPr>
          <w:color w:val="000000"/>
        </w:rPr>
      </w:pPr>
      <w:r>
        <w:rPr>
          <w:color w:val="000000"/>
        </w:rPr>
        <w:t>Esta gráfica se encuentra, editable, en el archivo:</w:t>
      </w:r>
    </w:p>
    <w:p w14:paraId="000000C5" w14:textId="77777777" w:rsidR="00C85E45" w:rsidRDefault="00C85E45">
      <w:pPr>
        <w:widowControl w:val="0"/>
        <w:pBdr>
          <w:top w:val="nil"/>
          <w:left w:val="nil"/>
          <w:bottom w:val="nil"/>
          <w:right w:val="nil"/>
          <w:between w:val="nil"/>
        </w:pBdr>
        <w:spacing w:line="240" w:lineRule="auto"/>
        <w:rPr>
          <w:color w:val="000000"/>
        </w:rPr>
      </w:pPr>
    </w:p>
    <w:p w14:paraId="000000C6" w14:textId="77777777" w:rsidR="00C85E45" w:rsidRDefault="00000000">
      <w:pPr>
        <w:widowControl w:val="0"/>
        <w:pBdr>
          <w:top w:val="nil"/>
          <w:left w:val="nil"/>
          <w:bottom w:val="nil"/>
          <w:right w:val="nil"/>
          <w:between w:val="nil"/>
        </w:pBdr>
        <w:spacing w:line="240" w:lineRule="auto"/>
        <w:rPr>
          <w:color w:val="000000"/>
        </w:rPr>
      </w:pPr>
      <w:r>
        <w:rPr>
          <w:color w:val="000000"/>
        </w:rPr>
        <w:t>CF_11_graficas de la carpeta Anexos</w:t>
      </w:r>
    </w:p>
  </w:comment>
  <w:comment w:id="5" w:author="user" w:date="2021-09-20T21:23:00Z" w:initials="">
    <w:p w14:paraId="000000BE" w14:textId="77777777" w:rsidR="00C85E45" w:rsidRDefault="00000000">
      <w:pPr>
        <w:widowControl w:val="0"/>
        <w:pBdr>
          <w:top w:val="nil"/>
          <w:left w:val="nil"/>
          <w:bottom w:val="nil"/>
          <w:right w:val="nil"/>
          <w:between w:val="nil"/>
        </w:pBdr>
        <w:spacing w:line="240" w:lineRule="auto"/>
        <w:rPr>
          <w:color w:val="000000"/>
        </w:rPr>
      </w:pPr>
      <w:r>
        <w:rPr>
          <w:color w:val="000000"/>
        </w:rPr>
        <w:t>Esta gráfica se encuentra, editable, en el archivo:</w:t>
      </w:r>
    </w:p>
    <w:p w14:paraId="000000BF" w14:textId="77777777" w:rsidR="00C85E45" w:rsidRDefault="00C85E45">
      <w:pPr>
        <w:widowControl w:val="0"/>
        <w:pBdr>
          <w:top w:val="nil"/>
          <w:left w:val="nil"/>
          <w:bottom w:val="nil"/>
          <w:right w:val="nil"/>
          <w:between w:val="nil"/>
        </w:pBdr>
        <w:spacing w:line="240" w:lineRule="auto"/>
        <w:rPr>
          <w:color w:val="000000"/>
        </w:rPr>
      </w:pPr>
    </w:p>
    <w:p w14:paraId="000000C0" w14:textId="77777777" w:rsidR="00C85E45" w:rsidRDefault="00000000">
      <w:pPr>
        <w:widowControl w:val="0"/>
        <w:pBdr>
          <w:top w:val="nil"/>
          <w:left w:val="nil"/>
          <w:bottom w:val="nil"/>
          <w:right w:val="nil"/>
          <w:between w:val="nil"/>
        </w:pBdr>
        <w:spacing w:line="240" w:lineRule="auto"/>
        <w:rPr>
          <w:color w:val="000000"/>
        </w:rPr>
      </w:pPr>
      <w:r>
        <w:rPr>
          <w:color w:val="000000"/>
        </w:rPr>
        <w:t>CF_11_graficas de la carpeta Anexos</w:t>
      </w:r>
    </w:p>
  </w:comment>
  <w:comment w:id="6" w:author="user" w:date="2021-09-20T21:23:00Z" w:initials="">
    <w:p w14:paraId="000000B8" w14:textId="77777777" w:rsidR="00C85E45" w:rsidRDefault="00000000">
      <w:pPr>
        <w:widowControl w:val="0"/>
        <w:pBdr>
          <w:top w:val="nil"/>
          <w:left w:val="nil"/>
          <w:bottom w:val="nil"/>
          <w:right w:val="nil"/>
          <w:between w:val="nil"/>
        </w:pBdr>
        <w:spacing w:line="240" w:lineRule="auto"/>
        <w:rPr>
          <w:color w:val="000000"/>
        </w:rPr>
      </w:pPr>
      <w:r>
        <w:rPr>
          <w:color w:val="000000"/>
        </w:rPr>
        <w:t>Esta gráfica se encuentra, editable, en el archivo:</w:t>
      </w:r>
    </w:p>
    <w:p w14:paraId="000000B9" w14:textId="77777777" w:rsidR="00C85E45" w:rsidRDefault="00C85E45">
      <w:pPr>
        <w:widowControl w:val="0"/>
        <w:pBdr>
          <w:top w:val="nil"/>
          <w:left w:val="nil"/>
          <w:bottom w:val="nil"/>
          <w:right w:val="nil"/>
          <w:between w:val="nil"/>
        </w:pBdr>
        <w:spacing w:line="240" w:lineRule="auto"/>
        <w:rPr>
          <w:color w:val="000000"/>
        </w:rPr>
      </w:pPr>
    </w:p>
    <w:p w14:paraId="000000BA" w14:textId="77777777" w:rsidR="00C85E45" w:rsidRDefault="00000000">
      <w:pPr>
        <w:widowControl w:val="0"/>
        <w:pBdr>
          <w:top w:val="nil"/>
          <w:left w:val="nil"/>
          <w:bottom w:val="nil"/>
          <w:right w:val="nil"/>
          <w:between w:val="nil"/>
        </w:pBdr>
        <w:spacing w:line="240" w:lineRule="auto"/>
        <w:rPr>
          <w:color w:val="000000"/>
        </w:rPr>
      </w:pPr>
      <w:r>
        <w:rPr>
          <w:color w:val="000000"/>
        </w:rPr>
        <w:t>CF_11_graficas de la carpeta Anexos</w:t>
      </w:r>
    </w:p>
  </w:comment>
  <w:comment w:id="7" w:author="user" w:date="2021-09-20T21:23:00Z" w:initials="">
    <w:p w14:paraId="000000C1" w14:textId="77777777" w:rsidR="00C85E45" w:rsidRDefault="00000000">
      <w:pPr>
        <w:widowControl w:val="0"/>
        <w:pBdr>
          <w:top w:val="nil"/>
          <w:left w:val="nil"/>
          <w:bottom w:val="nil"/>
          <w:right w:val="nil"/>
          <w:between w:val="nil"/>
        </w:pBdr>
        <w:spacing w:line="240" w:lineRule="auto"/>
        <w:rPr>
          <w:color w:val="000000"/>
        </w:rPr>
      </w:pPr>
      <w:r>
        <w:rPr>
          <w:color w:val="000000"/>
        </w:rPr>
        <w:t>Esta gráfica se encuentra, editable, en el archivo:</w:t>
      </w:r>
    </w:p>
    <w:p w14:paraId="000000C2" w14:textId="77777777" w:rsidR="00C85E45" w:rsidRDefault="00C85E45">
      <w:pPr>
        <w:widowControl w:val="0"/>
        <w:pBdr>
          <w:top w:val="nil"/>
          <w:left w:val="nil"/>
          <w:bottom w:val="nil"/>
          <w:right w:val="nil"/>
          <w:between w:val="nil"/>
        </w:pBdr>
        <w:spacing w:line="240" w:lineRule="auto"/>
        <w:rPr>
          <w:color w:val="000000"/>
        </w:rPr>
      </w:pPr>
    </w:p>
    <w:p w14:paraId="000000C3" w14:textId="77777777" w:rsidR="00C85E45" w:rsidRDefault="00000000">
      <w:pPr>
        <w:widowControl w:val="0"/>
        <w:pBdr>
          <w:top w:val="nil"/>
          <w:left w:val="nil"/>
          <w:bottom w:val="nil"/>
          <w:right w:val="nil"/>
          <w:between w:val="nil"/>
        </w:pBdr>
        <w:spacing w:line="240" w:lineRule="auto"/>
        <w:rPr>
          <w:color w:val="000000"/>
        </w:rPr>
      </w:pPr>
      <w:r>
        <w:rPr>
          <w:color w:val="000000"/>
        </w:rPr>
        <w:t>CF_11_graficas de la carpeta Anexos</w:t>
      </w:r>
    </w:p>
  </w:comment>
  <w:comment w:id="8" w:author="user" w:date="2021-09-20T21:23:00Z" w:initials="">
    <w:p w14:paraId="000000B2" w14:textId="77777777" w:rsidR="00C85E45" w:rsidRDefault="00000000">
      <w:pPr>
        <w:widowControl w:val="0"/>
        <w:pBdr>
          <w:top w:val="nil"/>
          <w:left w:val="nil"/>
          <w:bottom w:val="nil"/>
          <w:right w:val="nil"/>
          <w:between w:val="nil"/>
        </w:pBdr>
        <w:spacing w:line="240" w:lineRule="auto"/>
        <w:rPr>
          <w:color w:val="000000"/>
        </w:rPr>
      </w:pPr>
      <w:r>
        <w:rPr>
          <w:color w:val="000000"/>
        </w:rPr>
        <w:t>Esta gráfica se encuentra, editable, en el archivo:</w:t>
      </w:r>
    </w:p>
    <w:p w14:paraId="000000B3" w14:textId="77777777" w:rsidR="00C85E45" w:rsidRDefault="00C85E45">
      <w:pPr>
        <w:widowControl w:val="0"/>
        <w:pBdr>
          <w:top w:val="nil"/>
          <w:left w:val="nil"/>
          <w:bottom w:val="nil"/>
          <w:right w:val="nil"/>
          <w:between w:val="nil"/>
        </w:pBdr>
        <w:spacing w:line="240" w:lineRule="auto"/>
        <w:rPr>
          <w:color w:val="000000"/>
        </w:rPr>
      </w:pPr>
    </w:p>
    <w:p w14:paraId="000000B4" w14:textId="77777777" w:rsidR="00C85E45" w:rsidRDefault="00000000">
      <w:pPr>
        <w:widowControl w:val="0"/>
        <w:pBdr>
          <w:top w:val="nil"/>
          <w:left w:val="nil"/>
          <w:bottom w:val="nil"/>
          <w:right w:val="nil"/>
          <w:between w:val="nil"/>
        </w:pBdr>
        <w:spacing w:line="240" w:lineRule="auto"/>
        <w:rPr>
          <w:color w:val="000000"/>
        </w:rPr>
      </w:pPr>
      <w:r>
        <w:rPr>
          <w:color w:val="000000"/>
        </w:rPr>
        <w:t>CF_11_graficas de la carpeta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BD" w15:done="0"/>
  <w15:commentEx w15:paraId="000000B7" w15:done="0"/>
  <w15:commentEx w15:paraId="000000C9" w15:done="0"/>
  <w15:commentEx w15:paraId="000000CC" w15:done="0"/>
  <w15:commentEx w15:paraId="000000C6" w15:done="0"/>
  <w15:commentEx w15:paraId="000000C0" w15:done="0"/>
  <w15:commentEx w15:paraId="000000BA" w15:done="0"/>
  <w15:commentEx w15:paraId="000000C3" w15:done="0"/>
  <w15:commentEx w15:paraId="000000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BD" w16cid:durableId="0D9B93CF"/>
  <w16cid:commentId w16cid:paraId="000000B7" w16cid:durableId="1F45E1F1"/>
  <w16cid:commentId w16cid:paraId="000000C9" w16cid:durableId="1160EBEE"/>
  <w16cid:commentId w16cid:paraId="000000CC" w16cid:durableId="26911D64"/>
  <w16cid:commentId w16cid:paraId="000000C6" w16cid:durableId="4235EFF8"/>
  <w16cid:commentId w16cid:paraId="000000C0" w16cid:durableId="10D0B910"/>
  <w16cid:commentId w16cid:paraId="000000BA" w16cid:durableId="1FAEEEBC"/>
  <w16cid:commentId w16cid:paraId="000000C3" w16cid:durableId="1C9CE338"/>
  <w16cid:commentId w16cid:paraId="000000B4" w16cid:durableId="50951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3605B" w14:textId="77777777" w:rsidR="000B6614" w:rsidRDefault="000B6614">
      <w:pPr>
        <w:spacing w:line="240" w:lineRule="auto"/>
      </w:pPr>
      <w:r>
        <w:separator/>
      </w:r>
    </w:p>
  </w:endnote>
  <w:endnote w:type="continuationSeparator" w:id="0">
    <w:p w14:paraId="6003C4BE" w14:textId="77777777" w:rsidR="000B6614" w:rsidRDefault="000B66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F0224" w14:textId="77777777" w:rsidR="000B6614" w:rsidRDefault="000B6614">
      <w:pPr>
        <w:spacing w:line="240" w:lineRule="auto"/>
      </w:pPr>
      <w:r>
        <w:separator/>
      </w:r>
    </w:p>
  </w:footnote>
  <w:footnote w:type="continuationSeparator" w:id="0">
    <w:p w14:paraId="68BEA6CA" w14:textId="77777777" w:rsidR="000B6614" w:rsidRDefault="000B66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1" w14:textId="4BD7AA86" w:rsidR="00C85E45" w:rsidRDefault="00EF58C1">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anchor distT="0" distB="0" distL="114300" distR="114300" simplePos="0" relativeHeight="251659264" behindDoc="0" locked="0" layoutInCell="1" allowOverlap="1" wp14:anchorId="2BB5AF06" wp14:editId="3C697C08">
          <wp:simplePos x="0" y="0"/>
          <wp:positionH relativeFrom="column">
            <wp:posOffset>2800350</wp:posOffset>
          </wp:positionH>
          <wp:positionV relativeFrom="paragraph">
            <wp:posOffset>-219710</wp:posOffset>
          </wp:positionV>
          <wp:extent cx="542290" cy="59753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290" cy="59753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D1FEE"/>
    <w:multiLevelType w:val="multilevel"/>
    <w:tmpl w:val="480AF5DE"/>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1" w15:restartNumberingAfterBreak="0">
    <w:nsid w:val="1D906628"/>
    <w:multiLevelType w:val="multilevel"/>
    <w:tmpl w:val="C44E97D4"/>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2" w15:restartNumberingAfterBreak="0">
    <w:nsid w:val="37F91CCA"/>
    <w:multiLevelType w:val="multilevel"/>
    <w:tmpl w:val="2A6E1D3E"/>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3" w15:restartNumberingAfterBreak="0">
    <w:nsid w:val="471B2B5D"/>
    <w:multiLevelType w:val="multilevel"/>
    <w:tmpl w:val="83561CC8"/>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4" w15:restartNumberingAfterBreak="0">
    <w:nsid w:val="4FD27E65"/>
    <w:multiLevelType w:val="multilevel"/>
    <w:tmpl w:val="8580EE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8ED4E89"/>
    <w:multiLevelType w:val="multilevel"/>
    <w:tmpl w:val="62B08ABA"/>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6" w15:restartNumberingAfterBreak="0">
    <w:nsid w:val="5B715826"/>
    <w:multiLevelType w:val="multilevel"/>
    <w:tmpl w:val="EB5259D6"/>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7" w15:restartNumberingAfterBreak="0">
    <w:nsid w:val="620D6747"/>
    <w:multiLevelType w:val="multilevel"/>
    <w:tmpl w:val="92207B24"/>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8" w15:restartNumberingAfterBreak="0">
    <w:nsid w:val="6A591E1C"/>
    <w:multiLevelType w:val="multilevel"/>
    <w:tmpl w:val="AE4C475C"/>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num w:numId="1" w16cid:durableId="516622106">
    <w:abstractNumId w:val="3"/>
  </w:num>
  <w:num w:numId="2" w16cid:durableId="1753693941">
    <w:abstractNumId w:val="8"/>
  </w:num>
  <w:num w:numId="3" w16cid:durableId="1581526918">
    <w:abstractNumId w:val="7"/>
  </w:num>
  <w:num w:numId="4" w16cid:durableId="877427027">
    <w:abstractNumId w:val="4"/>
  </w:num>
  <w:num w:numId="5" w16cid:durableId="777873807">
    <w:abstractNumId w:val="6"/>
  </w:num>
  <w:num w:numId="6" w16cid:durableId="1692534519">
    <w:abstractNumId w:val="0"/>
  </w:num>
  <w:num w:numId="7" w16cid:durableId="613637362">
    <w:abstractNumId w:val="1"/>
  </w:num>
  <w:num w:numId="8" w16cid:durableId="1721827417">
    <w:abstractNumId w:val="2"/>
  </w:num>
  <w:num w:numId="9" w16cid:durableId="6061618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E45"/>
    <w:rsid w:val="00054750"/>
    <w:rsid w:val="000B6614"/>
    <w:rsid w:val="00440397"/>
    <w:rsid w:val="00513086"/>
    <w:rsid w:val="008B5A81"/>
    <w:rsid w:val="00C85E45"/>
    <w:rsid w:val="00E14D09"/>
    <w:rsid w:val="00EF58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10C7A"/>
  <w15:docId w15:val="{A80D2A98-0DBB-4915-B0DD-33E6A89C9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61F"/>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55761F"/>
    <w:pPr>
      <w:ind w:left="720"/>
      <w:contextualSpacing/>
    </w:pPr>
  </w:style>
  <w:style w:type="character" w:styleId="Hipervnculo">
    <w:name w:val="Hyperlink"/>
    <w:basedOn w:val="Fuentedeprrafopredeter"/>
    <w:uiPriority w:val="99"/>
    <w:unhideWhenUsed/>
    <w:rsid w:val="0055761F"/>
    <w:rPr>
      <w:color w:val="0563C1" w:themeColor="hyperlink"/>
      <w:u w:val="single"/>
    </w:rPr>
  </w:style>
  <w:style w:type="paragraph" w:styleId="Descripcin">
    <w:name w:val="caption"/>
    <w:basedOn w:val="Normal"/>
    <w:next w:val="Normal"/>
    <w:uiPriority w:val="35"/>
    <w:unhideWhenUsed/>
    <w:qFormat/>
    <w:rsid w:val="0055761F"/>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A12B7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12B77"/>
    <w:rPr>
      <w:rFonts w:ascii="Arial" w:eastAsia="Arial" w:hAnsi="Arial" w:cs="Arial"/>
      <w:lang w:eastAsia="es-CO"/>
    </w:rPr>
  </w:style>
  <w:style w:type="paragraph" w:styleId="Piedepgina">
    <w:name w:val="footer"/>
    <w:basedOn w:val="Normal"/>
    <w:link w:val="PiedepginaCar"/>
    <w:uiPriority w:val="99"/>
    <w:unhideWhenUsed/>
    <w:rsid w:val="00A12B7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12B77"/>
    <w:rPr>
      <w:rFonts w:ascii="Arial" w:eastAsia="Arial" w:hAnsi="Arial" w:cs="Arial"/>
      <w:lang w:eastAsia="es-CO"/>
    </w:rPr>
  </w:style>
  <w:style w:type="character" w:styleId="Refdecomentario">
    <w:name w:val="annotation reference"/>
    <w:basedOn w:val="Fuentedeprrafopredeter"/>
    <w:uiPriority w:val="99"/>
    <w:semiHidden/>
    <w:unhideWhenUsed/>
    <w:rsid w:val="00E46745"/>
    <w:rPr>
      <w:sz w:val="16"/>
      <w:szCs w:val="16"/>
    </w:rPr>
  </w:style>
  <w:style w:type="paragraph" w:styleId="Textocomentario">
    <w:name w:val="annotation text"/>
    <w:basedOn w:val="Normal"/>
    <w:link w:val="TextocomentarioCar"/>
    <w:uiPriority w:val="99"/>
    <w:semiHidden/>
    <w:unhideWhenUsed/>
    <w:rsid w:val="00E467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745"/>
    <w:rPr>
      <w:rFonts w:ascii="Arial" w:eastAsia="Arial" w:hAnsi="Arial" w:cs="Arial"/>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E46745"/>
    <w:rPr>
      <w:b/>
      <w:bCs/>
    </w:rPr>
  </w:style>
  <w:style w:type="character" w:customStyle="1" w:styleId="AsuntodelcomentarioCar">
    <w:name w:val="Asunto del comentario Car"/>
    <w:basedOn w:val="TextocomentarioCar"/>
    <w:link w:val="Asuntodelcomentario"/>
    <w:uiPriority w:val="99"/>
    <w:semiHidden/>
    <w:rsid w:val="00E46745"/>
    <w:rPr>
      <w:rFonts w:ascii="Arial" w:eastAsia="Arial" w:hAnsi="Arial" w:cs="Arial"/>
      <w:b/>
      <w:bCs/>
      <w:sz w:val="20"/>
      <w:szCs w:val="20"/>
      <w:lang w:eastAsia="es-CO"/>
    </w:rPr>
  </w:style>
  <w:style w:type="paragraph" w:styleId="Textodeglobo">
    <w:name w:val="Balloon Text"/>
    <w:basedOn w:val="Normal"/>
    <w:link w:val="TextodegloboCar"/>
    <w:uiPriority w:val="99"/>
    <w:semiHidden/>
    <w:unhideWhenUsed/>
    <w:rsid w:val="009F1BD9"/>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9F1BD9"/>
    <w:rPr>
      <w:rFonts w:ascii="Times New Roman" w:eastAsia="Arial" w:hAnsi="Times New Roman" w:cs="Times New Roman"/>
      <w:sz w:val="18"/>
      <w:szCs w:val="18"/>
      <w:lang w:eastAsia="es-CO"/>
    </w:rPr>
  </w:style>
  <w:style w:type="character" w:styleId="Hipervnculovisitado">
    <w:name w:val="FollowedHyperlink"/>
    <w:basedOn w:val="Fuentedeprrafopredeter"/>
    <w:uiPriority w:val="99"/>
    <w:semiHidden/>
    <w:unhideWhenUsed/>
    <w:rsid w:val="000172E7"/>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Revisin">
    <w:name w:val="Revision"/>
    <w:hidden/>
    <w:uiPriority w:val="99"/>
    <w:semiHidden/>
    <w:rsid w:val="00EF58C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hyperlink" Target="https://bpgurus.com/uncategorized/principios_itil4/" TargetMode="External"/><Relationship Id="rId39" Type="http://schemas.openxmlformats.org/officeDocument/2006/relationships/header" Target="header1.xml"/><Relationship Id="rId21" Type="http://schemas.openxmlformats.org/officeDocument/2006/relationships/hyperlink" Target="https://opciontecnologica.com/la-gestion-de-servicios-e-itil4/" TargetMode="External"/><Relationship Id="rId34" Type="http://schemas.openxmlformats.org/officeDocument/2006/relationships/hyperlink" Target="https://www.gestionyproyectos.co/iso20000-1201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www.pucesi.edu.ec/pucesimedios/?p=596"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pgurus.com/uncategorized/principios_itil4/" TargetMode="External"/><Relationship Id="rId32" Type="http://schemas.openxmlformats.org/officeDocument/2006/relationships/image" Target="media/image7.png"/><Relationship Id="rId37" Type="http://schemas.openxmlformats.org/officeDocument/2006/relationships/image" Target="media/image8.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netmind.net/es/cobit-5-el-nuevo-marco-para-la-gobernanza-de-las-tic/" TargetMode="External"/><Relationship Id="rId23" Type="http://schemas.openxmlformats.org/officeDocument/2006/relationships/hyperlink" Target="https://opciontecnologica.com/la-gestion-de-servicios-e-itil4/" TargetMode="External"/><Relationship Id="rId28" Type="http://schemas.openxmlformats.org/officeDocument/2006/relationships/image" Target="media/image5.png"/><Relationship Id="rId36" Type="http://schemas.openxmlformats.org/officeDocument/2006/relationships/hyperlink" Target="https://www.gestionyproyectos.co/iso20000-12012/" TargetMode="External"/><Relationship Id="rId10" Type="http://schemas.openxmlformats.org/officeDocument/2006/relationships/endnotes" Target="endnotes.xml"/><Relationship Id="rId19" Type="http://schemas.openxmlformats.org/officeDocument/2006/relationships/hyperlink" Target="http://cobitmmatiasc.blogspot.com/2017/03/dominios-y-procesos-de-cobit.html" TargetMode="External"/><Relationship Id="rId31" Type="http://schemas.openxmlformats.org/officeDocument/2006/relationships/hyperlink" Target="https://www.normas-iso.com/iso-2000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opciontecnologica.com/la-gestion-de-servicios-e-itil4/" TargetMode="External"/><Relationship Id="rId27" Type="http://schemas.openxmlformats.org/officeDocument/2006/relationships/hyperlink" Target="https://bpgurus.com/uncategorized/principios_itil4/" TargetMode="External"/><Relationship Id="rId30" Type="http://schemas.openxmlformats.org/officeDocument/2006/relationships/image" Target="media/image6.png"/><Relationship Id="rId35" Type="http://schemas.openxmlformats.org/officeDocument/2006/relationships/hyperlink" Target="https://www.gestionyproyectos.co/iso20000-12012/"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netmind.net/es/cobit-5-el-nuevo-marco-para-la-gobernanza-de-las-tic/" TargetMode="External"/><Relationship Id="rId25" Type="http://schemas.openxmlformats.org/officeDocument/2006/relationships/hyperlink" Target="https://bpgurus.com/uncategorized/principios_itil4/" TargetMode="External"/><Relationship Id="rId33" Type="http://schemas.openxmlformats.org/officeDocument/2006/relationships/hyperlink" Target="https://www.gestionyproyectos.co/iso20000-12012/" TargetMode="External"/><Relationship Id="rId38" Type="http://schemas.openxmlformats.org/officeDocument/2006/relationships/hyperlink" Target="https://www.normas-iso.com/iso-2700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jGyJRYR5vFOqP7q8XCAq8Zs+YygQ==">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</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DDBBB3AA-28C5-4E32-BFB7-7D02056ED960}">
  <ds:schemaRefs>
    <ds:schemaRef ds:uri="http://schemas.microsoft.com/sharepoint/v3/contenttype/forms"/>
  </ds:schemaRefs>
</ds:datastoreItem>
</file>

<file path=customXml/itemProps2.xml><?xml version="1.0" encoding="utf-8"?>
<ds:datastoreItem xmlns:ds="http://schemas.openxmlformats.org/officeDocument/2006/customXml" ds:itemID="{A5D25406-7FEE-4D83-A79B-21EF7A96AF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7AAB8E12-99F3-4FE2-AE2C-7712488D118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1788</Words>
  <Characters>9839</Characters>
  <Application>Microsoft Office Word</Application>
  <DocSecurity>0</DocSecurity>
  <Lines>81</Lines>
  <Paragraphs>23</Paragraphs>
  <ScaleCrop>false</ScaleCrop>
  <Company/>
  <LinksUpToDate>false</LinksUpToDate>
  <CharactersWithSpaces>11604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Alix Cecilia Chinchilla Rueda</cp:lastModifiedBy>
  <cp:revision>6</cp:revision>
  <dcterms:created xsi:type="dcterms:W3CDTF">2021-09-20T23:18:00Z</dcterms:created>
  <dcterms:modified xsi:type="dcterms:W3CDTF">2023-10-25T04:23:00Z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5523200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