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6FE409C" w:rsidR="00C407C1" w:rsidRPr="007749D0" w:rsidRDefault="003275C6" w:rsidP="007F2B44">
                            <w:pPr>
                              <w:pStyle w:val="TituloPortada"/>
                              <w:ind w:firstLine="0"/>
                            </w:pPr>
                            <w:r w:rsidRPr="003275C6">
                              <w:t>Devolución de productos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6FE409C" w:rsidR="00C407C1" w:rsidRPr="007749D0" w:rsidRDefault="003275C6" w:rsidP="007F2B44">
                      <w:pPr>
                        <w:pStyle w:val="TituloPortada"/>
                        <w:ind w:firstLine="0"/>
                      </w:pPr>
                      <w:r w:rsidRPr="003275C6">
                        <w:t>Devolución de productos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327462FF" w:rsidR="00DE2964" w:rsidRDefault="003275C6" w:rsidP="00C407C1">
      <w:pPr>
        <w:pBdr>
          <w:bottom w:val="single" w:sz="12" w:space="1" w:color="auto"/>
        </w:pBdr>
        <w:rPr>
          <w:rFonts w:ascii="Calibri" w:hAnsi="Calibri"/>
          <w:color w:val="000000" w:themeColor="text1"/>
          <w:kern w:val="0"/>
          <w14:ligatures w14:val="none"/>
        </w:rPr>
      </w:pPr>
      <w:r w:rsidRPr="003275C6">
        <w:rPr>
          <w:rFonts w:ascii="Calibri" w:hAnsi="Calibri"/>
          <w:color w:val="000000" w:themeColor="text1"/>
          <w:kern w:val="0"/>
          <w14:ligatures w14:val="none"/>
        </w:rPr>
        <w:t>En este componente formativo se abordan los conocimientos de la competencia recibir mercancía según los procedimientos técnicos, referentes a la devolución de productos farmacéuticos, con el fin que los aprendices reconozcan la importancia del procedimiento en garantizar la calidad de los productos y su impacto en la minimización de pérdidas económicas</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318E1DE0" w14:textId="32DB6197" w:rsidR="005B1C23"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1719579" w:history="1">
            <w:r w:rsidR="005B1C23" w:rsidRPr="009E0655">
              <w:rPr>
                <w:rStyle w:val="Hipervnculo"/>
                <w:noProof/>
              </w:rPr>
              <w:t>Introducción</w:t>
            </w:r>
            <w:r w:rsidR="005B1C23">
              <w:rPr>
                <w:noProof/>
                <w:webHidden/>
              </w:rPr>
              <w:tab/>
            </w:r>
            <w:r w:rsidR="005B1C23">
              <w:rPr>
                <w:noProof/>
                <w:webHidden/>
              </w:rPr>
              <w:fldChar w:fldCharType="begin"/>
            </w:r>
            <w:r w:rsidR="005B1C23">
              <w:rPr>
                <w:noProof/>
                <w:webHidden/>
              </w:rPr>
              <w:instrText xml:space="preserve"> PAGEREF _Toc141719579 \h </w:instrText>
            </w:r>
            <w:r w:rsidR="005B1C23">
              <w:rPr>
                <w:noProof/>
                <w:webHidden/>
              </w:rPr>
            </w:r>
            <w:r w:rsidR="005B1C23">
              <w:rPr>
                <w:noProof/>
                <w:webHidden/>
              </w:rPr>
              <w:fldChar w:fldCharType="separate"/>
            </w:r>
            <w:r w:rsidR="00CB4489">
              <w:rPr>
                <w:noProof/>
                <w:webHidden/>
              </w:rPr>
              <w:t>1</w:t>
            </w:r>
            <w:r w:rsidR="005B1C23">
              <w:rPr>
                <w:noProof/>
                <w:webHidden/>
              </w:rPr>
              <w:fldChar w:fldCharType="end"/>
            </w:r>
          </w:hyperlink>
        </w:p>
        <w:p w14:paraId="341CEE39" w14:textId="513D8F89" w:rsidR="005B1C23" w:rsidRDefault="00000000">
          <w:pPr>
            <w:pStyle w:val="TDC1"/>
            <w:tabs>
              <w:tab w:val="left" w:pos="1320"/>
              <w:tab w:val="right" w:leader="dot" w:pos="9962"/>
            </w:tabs>
            <w:rPr>
              <w:rFonts w:eastAsiaTheme="minorEastAsia"/>
              <w:noProof/>
              <w:kern w:val="0"/>
              <w:sz w:val="22"/>
              <w:lang w:eastAsia="es-CO"/>
              <w14:ligatures w14:val="none"/>
            </w:rPr>
          </w:pPr>
          <w:hyperlink w:anchor="_Toc141719580" w:history="1">
            <w:r w:rsidR="005B1C23" w:rsidRPr="009E0655">
              <w:rPr>
                <w:rStyle w:val="Hipervnculo"/>
                <w:noProof/>
              </w:rPr>
              <w:t>1.</w:t>
            </w:r>
            <w:r w:rsidR="005B1C23">
              <w:rPr>
                <w:rFonts w:eastAsiaTheme="minorEastAsia"/>
                <w:noProof/>
                <w:kern w:val="0"/>
                <w:sz w:val="22"/>
                <w:lang w:eastAsia="es-CO"/>
                <w14:ligatures w14:val="none"/>
              </w:rPr>
              <w:tab/>
            </w:r>
            <w:r w:rsidR="005B1C23" w:rsidRPr="009E0655">
              <w:rPr>
                <w:rStyle w:val="Hipervnculo"/>
                <w:noProof/>
              </w:rPr>
              <w:t>Devolución de productos farmacéuticos</w:t>
            </w:r>
            <w:r w:rsidR="005B1C23">
              <w:rPr>
                <w:noProof/>
                <w:webHidden/>
              </w:rPr>
              <w:tab/>
            </w:r>
            <w:r w:rsidR="005B1C23">
              <w:rPr>
                <w:noProof/>
                <w:webHidden/>
              </w:rPr>
              <w:fldChar w:fldCharType="begin"/>
            </w:r>
            <w:r w:rsidR="005B1C23">
              <w:rPr>
                <w:noProof/>
                <w:webHidden/>
              </w:rPr>
              <w:instrText xml:space="preserve"> PAGEREF _Toc141719580 \h </w:instrText>
            </w:r>
            <w:r w:rsidR="005B1C23">
              <w:rPr>
                <w:noProof/>
                <w:webHidden/>
              </w:rPr>
            </w:r>
            <w:r w:rsidR="005B1C23">
              <w:rPr>
                <w:noProof/>
                <w:webHidden/>
              </w:rPr>
              <w:fldChar w:fldCharType="separate"/>
            </w:r>
            <w:r w:rsidR="00CB4489">
              <w:rPr>
                <w:noProof/>
                <w:webHidden/>
              </w:rPr>
              <w:t>1</w:t>
            </w:r>
            <w:r w:rsidR="005B1C23">
              <w:rPr>
                <w:noProof/>
                <w:webHidden/>
              </w:rPr>
              <w:fldChar w:fldCharType="end"/>
            </w:r>
          </w:hyperlink>
        </w:p>
        <w:p w14:paraId="54EBBDFF" w14:textId="562B6682" w:rsidR="005B1C23" w:rsidRDefault="00000000">
          <w:pPr>
            <w:pStyle w:val="TDC1"/>
            <w:tabs>
              <w:tab w:val="left" w:pos="1320"/>
              <w:tab w:val="right" w:leader="dot" w:pos="9962"/>
            </w:tabs>
            <w:rPr>
              <w:rFonts w:eastAsiaTheme="minorEastAsia"/>
              <w:noProof/>
              <w:kern w:val="0"/>
              <w:sz w:val="22"/>
              <w:lang w:eastAsia="es-CO"/>
              <w14:ligatures w14:val="none"/>
            </w:rPr>
          </w:pPr>
          <w:hyperlink w:anchor="_Toc141719581" w:history="1">
            <w:r w:rsidR="005B1C23" w:rsidRPr="009E0655">
              <w:rPr>
                <w:rStyle w:val="Hipervnculo"/>
                <w:noProof/>
              </w:rPr>
              <w:t>2.</w:t>
            </w:r>
            <w:r w:rsidR="005B1C23">
              <w:rPr>
                <w:rFonts w:eastAsiaTheme="minorEastAsia"/>
                <w:noProof/>
                <w:kern w:val="0"/>
                <w:sz w:val="22"/>
                <w:lang w:eastAsia="es-CO"/>
                <w14:ligatures w14:val="none"/>
              </w:rPr>
              <w:tab/>
            </w:r>
            <w:r w:rsidR="005B1C23" w:rsidRPr="009E0655">
              <w:rPr>
                <w:rStyle w:val="Hipervnculo"/>
                <w:noProof/>
              </w:rPr>
              <w:t>Procedimiento para las devoluciones</w:t>
            </w:r>
            <w:r w:rsidR="005B1C23">
              <w:rPr>
                <w:noProof/>
                <w:webHidden/>
              </w:rPr>
              <w:tab/>
            </w:r>
            <w:r w:rsidR="005B1C23">
              <w:rPr>
                <w:noProof/>
                <w:webHidden/>
              </w:rPr>
              <w:fldChar w:fldCharType="begin"/>
            </w:r>
            <w:r w:rsidR="005B1C23">
              <w:rPr>
                <w:noProof/>
                <w:webHidden/>
              </w:rPr>
              <w:instrText xml:space="preserve"> PAGEREF _Toc141719581 \h </w:instrText>
            </w:r>
            <w:r w:rsidR="005B1C23">
              <w:rPr>
                <w:noProof/>
                <w:webHidden/>
              </w:rPr>
            </w:r>
            <w:r w:rsidR="005B1C23">
              <w:rPr>
                <w:noProof/>
                <w:webHidden/>
              </w:rPr>
              <w:fldChar w:fldCharType="separate"/>
            </w:r>
            <w:r w:rsidR="00CB4489">
              <w:rPr>
                <w:noProof/>
                <w:webHidden/>
              </w:rPr>
              <w:t>3</w:t>
            </w:r>
            <w:r w:rsidR="005B1C23">
              <w:rPr>
                <w:noProof/>
                <w:webHidden/>
              </w:rPr>
              <w:fldChar w:fldCharType="end"/>
            </w:r>
          </w:hyperlink>
        </w:p>
        <w:p w14:paraId="72E4CFCD" w14:textId="1131994E" w:rsidR="005B1C23" w:rsidRDefault="00000000">
          <w:pPr>
            <w:pStyle w:val="TDC1"/>
            <w:tabs>
              <w:tab w:val="left" w:pos="1320"/>
              <w:tab w:val="right" w:leader="dot" w:pos="9962"/>
            </w:tabs>
            <w:rPr>
              <w:rFonts w:eastAsiaTheme="minorEastAsia"/>
              <w:noProof/>
              <w:kern w:val="0"/>
              <w:sz w:val="22"/>
              <w:lang w:eastAsia="es-CO"/>
              <w14:ligatures w14:val="none"/>
            </w:rPr>
          </w:pPr>
          <w:hyperlink w:anchor="_Toc141719582" w:history="1">
            <w:r w:rsidR="005B1C23" w:rsidRPr="009E0655">
              <w:rPr>
                <w:rStyle w:val="Hipervnculo"/>
                <w:noProof/>
              </w:rPr>
              <w:t>3.</w:t>
            </w:r>
            <w:r w:rsidR="005B1C23">
              <w:rPr>
                <w:rFonts w:eastAsiaTheme="minorEastAsia"/>
                <w:noProof/>
                <w:kern w:val="0"/>
                <w:sz w:val="22"/>
                <w:lang w:eastAsia="es-CO"/>
                <w14:ligatures w14:val="none"/>
              </w:rPr>
              <w:tab/>
            </w:r>
            <w:r w:rsidR="005B1C23" w:rsidRPr="009E0655">
              <w:rPr>
                <w:rStyle w:val="Hipervnculo"/>
                <w:noProof/>
              </w:rPr>
              <w:t>Registros y formatos</w:t>
            </w:r>
            <w:r w:rsidR="005B1C23">
              <w:rPr>
                <w:noProof/>
                <w:webHidden/>
              </w:rPr>
              <w:tab/>
            </w:r>
            <w:r w:rsidR="005B1C23">
              <w:rPr>
                <w:noProof/>
                <w:webHidden/>
              </w:rPr>
              <w:fldChar w:fldCharType="begin"/>
            </w:r>
            <w:r w:rsidR="005B1C23">
              <w:rPr>
                <w:noProof/>
                <w:webHidden/>
              </w:rPr>
              <w:instrText xml:space="preserve"> PAGEREF _Toc141719582 \h </w:instrText>
            </w:r>
            <w:r w:rsidR="005B1C23">
              <w:rPr>
                <w:noProof/>
                <w:webHidden/>
              </w:rPr>
            </w:r>
            <w:r w:rsidR="005B1C23">
              <w:rPr>
                <w:noProof/>
                <w:webHidden/>
              </w:rPr>
              <w:fldChar w:fldCharType="separate"/>
            </w:r>
            <w:r w:rsidR="00CB4489">
              <w:rPr>
                <w:noProof/>
                <w:webHidden/>
              </w:rPr>
              <w:t>5</w:t>
            </w:r>
            <w:r w:rsidR="005B1C23">
              <w:rPr>
                <w:noProof/>
                <w:webHidden/>
              </w:rPr>
              <w:fldChar w:fldCharType="end"/>
            </w:r>
          </w:hyperlink>
        </w:p>
        <w:p w14:paraId="4F04E874" w14:textId="573E2E1F" w:rsidR="005B1C23" w:rsidRDefault="00000000">
          <w:pPr>
            <w:pStyle w:val="TDC1"/>
            <w:tabs>
              <w:tab w:val="left" w:pos="1320"/>
              <w:tab w:val="right" w:leader="dot" w:pos="9962"/>
            </w:tabs>
            <w:rPr>
              <w:rFonts w:eastAsiaTheme="minorEastAsia"/>
              <w:noProof/>
              <w:kern w:val="0"/>
              <w:sz w:val="22"/>
              <w:lang w:eastAsia="es-CO"/>
              <w14:ligatures w14:val="none"/>
            </w:rPr>
          </w:pPr>
          <w:hyperlink w:anchor="_Toc141719583" w:history="1">
            <w:r w:rsidR="005B1C23" w:rsidRPr="009E0655">
              <w:rPr>
                <w:rStyle w:val="Hipervnculo"/>
                <w:noProof/>
              </w:rPr>
              <w:t>4.</w:t>
            </w:r>
            <w:r w:rsidR="005B1C23">
              <w:rPr>
                <w:rFonts w:eastAsiaTheme="minorEastAsia"/>
                <w:noProof/>
                <w:kern w:val="0"/>
                <w:sz w:val="22"/>
                <w:lang w:eastAsia="es-CO"/>
                <w14:ligatures w14:val="none"/>
              </w:rPr>
              <w:tab/>
            </w:r>
            <w:r w:rsidR="005B1C23" w:rsidRPr="009E0655">
              <w:rPr>
                <w:rStyle w:val="Hipervnculo"/>
                <w:noProof/>
              </w:rPr>
              <w:t>Métodos de control</w:t>
            </w:r>
            <w:r w:rsidR="005B1C23">
              <w:rPr>
                <w:noProof/>
                <w:webHidden/>
              </w:rPr>
              <w:tab/>
            </w:r>
            <w:r w:rsidR="005B1C23">
              <w:rPr>
                <w:noProof/>
                <w:webHidden/>
              </w:rPr>
              <w:fldChar w:fldCharType="begin"/>
            </w:r>
            <w:r w:rsidR="005B1C23">
              <w:rPr>
                <w:noProof/>
                <w:webHidden/>
              </w:rPr>
              <w:instrText xml:space="preserve"> PAGEREF _Toc141719583 \h </w:instrText>
            </w:r>
            <w:r w:rsidR="005B1C23">
              <w:rPr>
                <w:noProof/>
                <w:webHidden/>
              </w:rPr>
            </w:r>
            <w:r w:rsidR="005B1C23">
              <w:rPr>
                <w:noProof/>
                <w:webHidden/>
              </w:rPr>
              <w:fldChar w:fldCharType="separate"/>
            </w:r>
            <w:r w:rsidR="00CB4489">
              <w:rPr>
                <w:noProof/>
                <w:webHidden/>
              </w:rPr>
              <w:t>8</w:t>
            </w:r>
            <w:r w:rsidR="005B1C23">
              <w:rPr>
                <w:noProof/>
                <w:webHidden/>
              </w:rPr>
              <w:fldChar w:fldCharType="end"/>
            </w:r>
          </w:hyperlink>
        </w:p>
        <w:p w14:paraId="0A568316" w14:textId="4383D2D1" w:rsidR="005B1C23" w:rsidRDefault="00000000">
          <w:pPr>
            <w:pStyle w:val="TDC1"/>
            <w:tabs>
              <w:tab w:val="right" w:leader="dot" w:pos="9962"/>
            </w:tabs>
            <w:rPr>
              <w:rFonts w:eastAsiaTheme="minorEastAsia"/>
              <w:noProof/>
              <w:kern w:val="0"/>
              <w:sz w:val="22"/>
              <w:lang w:eastAsia="es-CO"/>
              <w14:ligatures w14:val="none"/>
            </w:rPr>
          </w:pPr>
          <w:hyperlink w:anchor="_Toc141719584" w:history="1">
            <w:r w:rsidR="005B1C23" w:rsidRPr="009E0655">
              <w:rPr>
                <w:rStyle w:val="Hipervnculo"/>
                <w:noProof/>
              </w:rPr>
              <w:t>Síntesis</w:t>
            </w:r>
            <w:r w:rsidR="005B1C23">
              <w:rPr>
                <w:noProof/>
                <w:webHidden/>
              </w:rPr>
              <w:tab/>
            </w:r>
            <w:r w:rsidR="005B1C23">
              <w:rPr>
                <w:noProof/>
                <w:webHidden/>
              </w:rPr>
              <w:fldChar w:fldCharType="begin"/>
            </w:r>
            <w:r w:rsidR="005B1C23">
              <w:rPr>
                <w:noProof/>
                <w:webHidden/>
              </w:rPr>
              <w:instrText xml:space="preserve"> PAGEREF _Toc141719584 \h </w:instrText>
            </w:r>
            <w:r w:rsidR="005B1C23">
              <w:rPr>
                <w:noProof/>
                <w:webHidden/>
              </w:rPr>
            </w:r>
            <w:r w:rsidR="005B1C23">
              <w:rPr>
                <w:noProof/>
                <w:webHidden/>
              </w:rPr>
              <w:fldChar w:fldCharType="separate"/>
            </w:r>
            <w:r w:rsidR="00CB4489">
              <w:rPr>
                <w:noProof/>
                <w:webHidden/>
              </w:rPr>
              <w:t>11</w:t>
            </w:r>
            <w:r w:rsidR="005B1C23">
              <w:rPr>
                <w:noProof/>
                <w:webHidden/>
              </w:rPr>
              <w:fldChar w:fldCharType="end"/>
            </w:r>
          </w:hyperlink>
        </w:p>
        <w:p w14:paraId="33EF8769" w14:textId="08BD6D6D" w:rsidR="005B1C23" w:rsidRDefault="00000000">
          <w:pPr>
            <w:pStyle w:val="TDC1"/>
            <w:tabs>
              <w:tab w:val="right" w:leader="dot" w:pos="9962"/>
            </w:tabs>
            <w:rPr>
              <w:rFonts w:eastAsiaTheme="minorEastAsia"/>
              <w:noProof/>
              <w:kern w:val="0"/>
              <w:sz w:val="22"/>
              <w:lang w:eastAsia="es-CO"/>
              <w14:ligatures w14:val="none"/>
            </w:rPr>
          </w:pPr>
          <w:hyperlink w:anchor="_Toc141719585" w:history="1">
            <w:r w:rsidR="005B1C23" w:rsidRPr="009E0655">
              <w:rPr>
                <w:rStyle w:val="Hipervnculo"/>
                <w:noProof/>
              </w:rPr>
              <w:t>Material complementario</w:t>
            </w:r>
            <w:r w:rsidR="005B1C23">
              <w:rPr>
                <w:noProof/>
                <w:webHidden/>
              </w:rPr>
              <w:tab/>
            </w:r>
            <w:r w:rsidR="005B1C23">
              <w:rPr>
                <w:noProof/>
                <w:webHidden/>
              </w:rPr>
              <w:fldChar w:fldCharType="begin"/>
            </w:r>
            <w:r w:rsidR="005B1C23">
              <w:rPr>
                <w:noProof/>
                <w:webHidden/>
              </w:rPr>
              <w:instrText xml:space="preserve"> PAGEREF _Toc141719585 \h </w:instrText>
            </w:r>
            <w:r w:rsidR="005B1C23">
              <w:rPr>
                <w:noProof/>
                <w:webHidden/>
              </w:rPr>
            </w:r>
            <w:r w:rsidR="005B1C23">
              <w:rPr>
                <w:noProof/>
                <w:webHidden/>
              </w:rPr>
              <w:fldChar w:fldCharType="separate"/>
            </w:r>
            <w:r w:rsidR="00CB4489">
              <w:rPr>
                <w:noProof/>
                <w:webHidden/>
              </w:rPr>
              <w:t>12</w:t>
            </w:r>
            <w:r w:rsidR="005B1C23">
              <w:rPr>
                <w:noProof/>
                <w:webHidden/>
              </w:rPr>
              <w:fldChar w:fldCharType="end"/>
            </w:r>
          </w:hyperlink>
        </w:p>
        <w:p w14:paraId="072A8544" w14:textId="4C64ED3D" w:rsidR="005B1C23" w:rsidRDefault="00000000">
          <w:pPr>
            <w:pStyle w:val="TDC1"/>
            <w:tabs>
              <w:tab w:val="right" w:leader="dot" w:pos="9962"/>
            </w:tabs>
            <w:rPr>
              <w:rFonts w:eastAsiaTheme="minorEastAsia"/>
              <w:noProof/>
              <w:kern w:val="0"/>
              <w:sz w:val="22"/>
              <w:lang w:eastAsia="es-CO"/>
              <w14:ligatures w14:val="none"/>
            </w:rPr>
          </w:pPr>
          <w:hyperlink w:anchor="_Toc141719586" w:history="1">
            <w:r w:rsidR="005B1C23" w:rsidRPr="009E0655">
              <w:rPr>
                <w:rStyle w:val="Hipervnculo"/>
                <w:noProof/>
              </w:rPr>
              <w:t>Glosario</w:t>
            </w:r>
            <w:r w:rsidR="005B1C23">
              <w:rPr>
                <w:noProof/>
                <w:webHidden/>
              </w:rPr>
              <w:tab/>
            </w:r>
            <w:r w:rsidR="005B1C23">
              <w:rPr>
                <w:noProof/>
                <w:webHidden/>
              </w:rPr>
              <w:fldChar w:fldCharType="begin"/>
            </w:r>
            <w:r w:rsidR="005B1C23">
              <w:rPr>
                <w:noProof/>
                <w:webHidden/>
              </w:rPr>
              <w:instrText xml:space="preserve"> PAGEREF _Toc141719586 \h </w:instrText>
            </w:r>
            <w:r w:rsidR="005B1C23">
              <w:rPr>
                <w:noProof/>
                <w:webHidden/>
              </w:rPr>
            </w:r>
            <w:r w:rsidR="005B1C23">
              <w:rPr>
                <w:noProof/>
                <w:webHidden/>
              </w:rPr>
              <w:fldChar w:fldCharType="separate"/>
            </w:r>
            <w:r w:rsidR="00CB4489">
              <w:rPr>
                <w:noProof/>
                <w:webHidden/>
              </w:rPr>
              <w:t>13</w:t>
            </w:r>
            <w:r w:rsidR="005B1C23">
              <w:rPr>
                <w:noProof/>
                <w:webHidden/>
              </w:rPr>
              <w:fldChar w:fldCharType="end"/>
            </w:r>
          </w:hyperlink>
        </w:p>
        <w:p w14:paraId="05472513" w14:textId="08064064" w:rsidR="005B1C23" w:rsidRDefault="00000000">
          <w:pPr>
            <w:pStyle w:val="TDC1"/>
            <w:tabs>
              <w:tab w:val="right" w:leader="dot" w:pos="9962"/>
            </w:tabs>
            <w:rPr>
              <w:rFonts w:eastAsiaTheme="minorEastAsia"/>
              <w:noProof/>
              <w:kern w:val="0"/>
              <w:sz w:val="22"/>
              <w:lang w:eastAsia="es-CO"/>
              <w14:ligatures w14:val="none"/>
            </w:rPr>
          </w:pPr>
          <w:hyperlink w:anchor="_Toc141719587" w:history="1">
            <w:r w:rsidR="005B1C23" w:rsidRPr="009E0655">
              <w:rPr>
                <w:rStyle w:val="Hipervnculo"/>
                <w:noProof/>
              </w:rPr>
              <w:t>Referencias bibliográficas</w:t>
            </w:r>
            <w:r w:rsidR="005B1C23">
              <w:rPr>
                <w:noProof/>
                <w:webHidden/>
              </w:rPr>
              <w:tab/>
            </w:r>
            <w:r w:rsidR="005B1C23">
              <w:rPr>
                <w:noProof/>
                <w:webHidden/>
              </w:rPr>
              <w:fldChar w:fldCharType="begin"/>
            </w:r>
            <w:r w:rsidR="005B1C23">
              <w:rPr>
                <w:noProof/>
                <w:webHidden/>
              </w:rPr>
              <w:instrText xml:space="preserve"> PAGEREF _Toc141719587 \h </w:instrText>
            </w:r>
            <w:r w:rsidR="005B1C23">
              <w:rPr>
                <w:noProof/>
                <w:webHidden/>
              </w:rPr>
            </w:r>
            <w:r w:rsidR="005B1C23">
              <w:rPr>
                <w:noProof/>
                <w:webHidden/>
              </w:rPr>
              <w:fldChar w:fldCharType="separate"/>
            </w:r>
            <w:r w:rsidR="00CB4489">
              <w:rPr>
                <w:noProof/>
                <w:webHidden/>
              </w:rPr>
              <w:t>15</w:t>
            </w:r>
            <w:r w:rsidR="005B1C23">
              <w:rPr>
                <w:noProof/>
                <w:webHidden/>
              </w:rPr>
              <w:fldChar w:fldCharType="end"/>
            </w:r>
          </w:hyperlink>
        </w:p>
        <w:p w14:paraId="3AFC5851" w14:textId="1565F331"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719579"/>
      <w:r>
        <w:lastRenderedPageBreak/>
        <w:t>Introducción</w:t>
      </w:r>
      <w:bookmarkEnd w:id="0"/>
    </w:p>
    <w:p w14:paraId="65C1122E" w14:textId="77777777" w:rsidR="003275C6" w:rsidRDefault="003275C6" w:rsidP="003275C6">
      <w:r>
        <w:t>Durante el proceso de recepción de medicamentos y dispositivos médicos, se pueden presentar situaciones, con los productos farmacéuticos, que obliguen al proveedor a llevar a cabo su devolución.</w:t>
      </w:r>
    </w:p>
    <w:p w14:paraId="3CED14B0" w14:textId="77777777" w:rsidR="003275C6" w:rsidRDefault="003275C6" w:rsidP="003275C6">
      <w:r>
        <w:t>Mientras se gestiona dicha devolución, deben ser almacenados en el área de cuarentena II negra y marcados según sea el caso.</w:t>
      </w:r>
    </w:p>
    <w:p w14:paraId="667C0507" w14:textId="49D2ECE8" w:rsidR="00944961" w:rsidRDefault="003275C6" w:rsidP="003275C6">
      <w:r>
        <w:t>En este componente formativo, se abordarán diferentes temas relacionados con la devolución de productos farmacéuticos durante el proceso de recepción, con el fin de</w:t>
      </w:r>
      <w:r w:rsidR="00692371" w:rsidRPr="00692371">
        <w:t>.</w:t>
      </w:r>
    </w:p>
    <w:p w14:paraId="3BD758EC" w14:textId="722AA791" w:rsidR="003275C6" w:rsidRPr="003275C6" w:rsidRDefault="003275C6" w:rsidP="003275C6">
      <w:pPr>
        <w:rPr>
          <w:b/>
          <w:bCs/>
        </w:rPr>
      </w:pPr>
      <w:r w:rsidRPr="003275C6">
        <w:rPr>
          <w:b/>
          <w:bCs/>
        </w:rPr>
        <w:t>Garantizar la calidad.</w:t>
      </w:r>
    </w:p>
    <w:p w14:paraId="696B4C8D" w14:textId="3BFA5870" w:rsidR="003275C6" w:rsidRPr="003275C6" w:rsidRDefault="003275C6" w:rsidP="003275C6">
      <w:pPr>
        <w:rPr>
          <w:b/>
          <w:bCs/>
        </w:rPr>
      </w:pPr>
      <w:r w:rsidRPr="003275C6">
        <w:rPr>
          <w:b/>
          <w:bCs/>
        </w:rPr>
        <w:t>Minimizar las pérdidas económicas.</w:t>
      </w:r>
    </w:p>
    <w:p w14:paraId="07835DD7" w14:textId="77777777" w:rsidR="003275C6" w:rsidRPr="003275C6" w:rsidRDefault="003275C6" w:rsidP="003275C6">
      <w:r w:rsidRPr="003275C6">
        <w:rPr>
          <w:b/>
          <w:bCs/>
        </w:rPr>
        <w:t>Evitar controversias entre cliente y proveedor.</w:t>
      </w:r>
    </w:p>
    <w:p w14:paraId="0E1F931D" w14:textId="77777777" w:rsidR="003275C6" w:rsidRDefault="003275C6" w:rsidP="003275C6"/>
    <w:p w14:paraId="7B10370C" w14:textId="789B070E" w:rsidR="003275C6" w:rsidRDefault="003275C6" w:rsidP="003275C6">
      <w:pPr>
        <w:pStyle w:val="Ttulo1"/>
      </w:pPr>
      <w:bookmarkStart w:id="1" w:name="_Toc141719580"/>
      <w:r w:rsidRPr="003275C6">
        <w:t>Devolución de productos farmacéuticos</w:t>
      </w:r>
      <w:bookmarkEnd w:id="1"/>
    </w:p>
    <w:p w14:paraId="6BC4570C" w14:textId="4F4DD9B7" w:rsidR="003275C6" w:rsidRDefault="003275C6" w:rsidP="003275C6">
      <w:r w:rsidRPr="003275C6">
        <w:t xml:space="preserve">Para aprender y entender sobre una devolución de productos farmacéuticos, se invita a </w:t>
      </w:r>
      <w:r w:rsidR="00B81360">
        <w:t>consultar</w:t>
      </w:r>
      <w:r w:rsidRPr="003275C6">
        <w:t xml:space="preserve"> el siguiente video.</w:t>
      </w:r>
    </w:p>
    <w:p w14:paraId="765E3E65" w14:textId="188C9ACF" w:rsidR="00264DD7" w:rsidRDefault="00264DD7" w:rsidP="003275C6"/>
    <w:p w14:paraId="651BC340" w14:textId="751E5619" w:rsidR="00264DD7" w:rsidRDefault="00264DD7" w:rsidP="003275C6"/>
    <w:p w14:paraId="27D9F3D8" w14:textId="6F6C7B8F" w:rsidR="00264DD7" w:rsidRDefault="00264DD7" w:rsidP="003275C6"/>
    <w:p w14:paraId="2FCD11D7" w14:textId="77777777" w:rsidR="00264DD7" w:rsidRDefault="00264DD7" w:rsidP="003275C6"/>
    <w:p w14:paraId="3EFDC276" w14:textId="67743734" w:rsidR="003275C6" w:rsidRDefault="003275C6" w:rsidP="003275C6">
      <w:pPr>
        <w:pStyle w:val="Video"/>
      </w:pPr>
      <w:r>
        <w:lastRenderedPageBreak/>
        <w:t>Devolución de productos farmacéuticos</w:t>
      </w:r>
    </w:p>
    <w:p w14:paraId="73EC7C52" w14:textId="0EC22474" w:rsidR="003275C6" w:rsidRDefault="00264DD7" w:rsidP="00264DD7">
      <w:pPr>
        <w:jc w:val="center"/>
      </w:pPr>
      <w:r>
        <w:rPr>
          <w:noProof/>
        </w:rPr>
        <w:drawing>
          <wp:inline distT="0" distB="0" distL="0" distR="0" wp14:anchorId="48FD1CF4" wp14:editId="6866E131">
            <wp:extent cx="4524375" cy="3430366"/>
            <wp:effectExtent l="0" t="0" r="0"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3"/>
                    <a:stretch>
                      <a:fillRect/>
                    </a:stretch>
                  </pic:blipFill>
                  <pic:spPr>
                    <a:xfrm>
                      <a:off x="0" y="0"/>
                      <a:ext cx="4525825" cy="3431465"/>
                    </a:xfrm>
                    <a:prstGeom prst="rect">
                      <a:avLst/>
                    </a:prstGeom>
                  </pic:spPr>
                </pic:pic>
              </a:graphicData>
            </a:graphic>
          </wp:inline>
        </w:drawing>
      </w:r>
    </w:p>
    <w:p w14:paraId="6A39A215" w14:textId="74DC1CEE" w:rsidR="003275C6" w:rsidRPr="003275C6" w:rsidRDefault="00000000" w:rsidP="003275C6">
      <w:pPr>
        <w:ind w:firstLine="0"/>
        <w:jc w:val="center"/>
        <w:rPr>
          <w:b/>
          <w:bCs/>
        </w:rPr>
      </w:pPr>
      <w:hyperlink r:id="rId14" w:history="1">
        <w:r w:rsidR="003275C6" w:rsidRPr="00264DD7">
          <w:rPr>
            <w:rStyle w:val="Hipervnculo"/>
            <w:b/>
            <w:bCs/>
          </w:rPr>
          <w:t>Devolución de productos farmacéuticos</w:t>
        </w:r>
      </w:hyperlink>
    </w:p>
    <w:tbl>
      <w:tblPr>
        <w:tblStyle w:val="Tablaconcuadrcula"/>
        <w:tblW w:w="0" w:type="auto"/>
        <w:tblLook w:val="04A0" w:firstRow="1" w:lastRow="0" w:firstColumn="1" w:lastColumn="0" w:noHBand="0" w:noVBand="1"/>
      </w:tblPr>
      <w:tblGrid>
        <w:gridCol w:w="9962"/>
      </w:tblGrid>
      <w:tr w:rsidR="003275C6" w:rsidRPr="00A57A9E" w14:paraId="25CFF229" w14:textId="77777777" w:rsidTr="0069501B">
        <w:tc>
          <w:tcPr>
            <w:tcW w:w="9962" w:type="dxa"/>
          </w:tcPr>
          <w:p w14:paraId="400BF557" w14:textId="7637E4EB" w:rsidR="003275C6" w:rsidRPr="00A57A9E" w:rsidRDefault="003275C6" w:rsidP="0069501B">
            <w:pPr>
              <w:ind w:firstLine="0"/>
              <w:jc w:val="center"/>
              <w:rPr>
                <w:b/>
              </w:rPr>
            </w:pPr>
            <w:r w:rsidRPr="00A57A9E">
              <w:rPr>
                <w:b/>
              </w:rPr>
              <w:t xml:space="preserve">Síntesis del video: </w:t>
            </w:r>
            <w:r w:rsidR="00264DD7" w:rsidRPr="00264DD7">
              <w:rPr>
                <w:b/>
              </w:rPr>
              <w:t>Devolución de productos farmacéuticos</w:t>
            </w:r>
          </w:p>
        </w:tc>
      </w:tr>
      <w:tr w:rsidR="003275C6" w:rsidRPr="00A57A9E" w14:paraId="150D68DA" w14:textId="77777777" w:rsidTr="0069501B">
        <w:tc>
          <w:tcPr>
            <w:tcW w:w="9962" w:type="dxa"/>
          </w:tcPr>
          <w:p w14:paraId="1AB208DA" w14:textId="77777777" w:rsidR="003275C6" w:rsidRDefault="00264DD7" w:rsidP="00264DD7">
            <w:pPr>
              <w:pStyle w:val="Prrafodelista"/>
              <w:ind w:left="1069" w:firstLine="0"/>
            </w:pPr>
            <w:r w:rsidRPr="00264DD7">
              <w:t>¿De qué se trata la devolución de productos farmacéuticos?​</w:t>
            </w:r>
          </w:p>
          <w:p w14:paraId="1E057C0E" w14:textId="77777777" w:rsidR="00264DD7" w:rsidRDefault="00264DD7" w:rsidP="00264DD7">
            <w:pPr>
              <w:pStyle w:val="Prrafodelista"/>
              <w:ind w:left="1069" w:firstLine="0"/>
            </w:pPr>
            <w:r w:rsidRPr="00264DD7">
              <w:t>Es el acto de llevar el producto de regreso a su origen, así sea el fabricante,​</w:t>
            </w:r>
            <w:r>
              <w:t xml:space="preserve"> </w:t>
            </w:r>
            <w:r w:rsidRPr="00264DD7">
              <w:t>el distribuidor mayorista, o el distribuidor minorista.​</w:t>
            </w:r>
          </w:p>
          <w:p w14:paraId="34C617FC" w14:textId="77777777" w:rsidR="00264DD7" w:rsidRDefault="00264DD7" w:rsidP="00264DD7">
            <w:pPr>
              <w:pStyle w:val="Prrafodelista"/>
              <w:ind w:left="1069" w:firstLine="0"/>
            </w:pPr>
            <w:r w:rsidRPr="00264DD7">
              <w:t>Ante esta situación, el producto contrae el nombre de producto no conforme.​</w:t>
            </w:r>
          </w:p>
          <w:p w14:paraId="7AB6EB3B" w14:textId="77777777" w:rsidR="00264DD7" w:rsidRDefault="00264DD7" w:rsidP="00264DD7">
            <w:pPr>
              <w:pStyle w:val="Prrafodelista"/>
              <w:ind w:left="1069" w:firstLine="0"/>
            </w:pPr>
            <w:r w:rsidRPr="00264DD7">
              <w:t>Se debe tener presente que la devolución de productos se puede originar en cualquiera de los siguientes procesos generales del servicio farmacéutico: ​</w:t>
            </w:r>
          </w:p>
          <w:p w14:paraId="4E5FBC67" w14:textId="77777777" w:rsidR="00264DD7" w:rsidRPr="00264DD7" w:rsidRDefault="00264DD7" w:rsidP="00264DD7">
            <w:pPr>
              <w:pStyle w:val="Prrafodelista"/>
              <w:ind w:left="1069" w:firstLine="0"/>
              <w:rPr>
                <w:b/>
                <w:bCs/>
              </w:rPr>
            </w:pPr>
            <w:r w:rsidRPr="00264DD7">
              <w:rPr>
                <w:b/>
                <w:bCs/>
              </w:rPr>
              <w:t>Recepción </w:t>
            </w:r>
          </w:p>
          <w:p w14:paraId="713067AC" w14:textId="77777777" w:rsidR="00264DD7" w:rsidRDefault="00264DD7" w:rsidP="00264DD7">
            <w:pPr>
              <w:pStyle w:val="Prrafodelista"/>
              <w:ind w:left="1069" w:firstLine="0"/>
            </w:pPr>
            <w:r w:rsidRPr="00264DD7">
              <w:rPr>
                <w:b/>
                <w:bCs/>
              </w:rPr>
              <w:t>Almacenamiento</w:t>
            </w:r>
            <w:r w:rsidRPr="00264DD7">
              <w:t xml:space="preserve"> ​</w:t>
            </w:r>
          </w:p>
          <w:p w14:paraId="00071976" w14:textId="77777777" w:rsidR="00264DD7" w:rsidRPr="00264DD7" w:rsidRDefault="00264DD7" w:rsidP="00264DD7">
            <w:pPr>
              <w:pStyle w:val="Prrafodelista"/>
              <w:ind w:left="1069" w:firstLine="0"/>
              <w:rPr>
                <w:b/>
                <w:bCs/>
              </w:rPr>
            </w:pPr>
            <w:r w:rsidRPr="00264DD7">
              <w:rPr>
                <w:b/>
                <w:bCs/>
              </w:rPr>
              <w:lastRenderedPageBreak/>
              <w:t>Dispensación ​</w:t>
            </w:r>
          </w:p>
          <w:p w14:paraId="219F3683" w14:textId="77777777" w:rsidR="00264DD7" w:rsidRPr="00264DD7" w:rsidRDefault="00264DD7" w:rsidP="00264DD7">
            <w:pPr>
              <w:pStyle w:val="Prrafodelista"/>
              <w:ind w:left="1069" w:firstLine="0"/>
              <w:rPr>
                <w:b/>
                <w:bCs/>
              </w:rPr>
            </w:pPr>
            <w:r w:rsidRPr="00264DD7">
              <w:rPr>
                <w:b/>
                <w:bCs/>
              </w:rPr>
              <w:t>Y distribución</w:t>
            </w:r>
          </w:p>
          <w:p w14:paraId="4B86FFBA" w14:textId="4AD2605F" w:rsidR="00264DD7" w:rsidRPr="00A57A9E" w:rsidRDefault="00264DD7" w:rsidP="00264DD7">
            <w:pPr>
              <w:pStyle w:val="Prrafodelista"/>
              <w:ind w:left="1069" w:firstLine="0"/>
            </w:pPr>
            <w:r w:rsidRPr="00264DD7">
              <w:t>Porque en cada uno de estos procesos, pueden existir alteraciones que impidan la tenencia y comercialización de estos productos farmacéuticos.​</w:t>
            </w:r>
          </w:p>
        </w:tc>
      </w:tr>
    </w:tbl>
    <w:p w14:paraId="18CC9810" w14:textId="7BF26B96" w:rsidR="003275C6" w:rsidRDefault="003275C6" w:rsidP="003275C6"/>
    <w:p w14:paraId="1E16482A" w14:textId="1FE5EC11" w:rsidR="003275C6" w:rsidRDefault="009A4984" w:rsidP="009A4984">
      <w:pPr>
        <w:pStyle w:val="Ttulo1"/>
      </w:pPr>
      <w:bookmarkStart w:id="2" w:name="_Toc141719581"/>
      <w:r w:rsidRPr="009A4984">
        <w:t>Procedimiento para las devoluciones</w:t>
      </w:r>
      <w:bookmarkEnd w:id="2"/>
    </w:p>
    <w:p w14:paraId="0F0D7917" w14:textId="166C0662" w:rsidR="003275C6" w:rsidRDefault="009A4984" w:rsidP="003275C6">
      <w:r w:rsidRPr="009A4984">
        <w:t>Cada laboratorio fabricante, distribuidor minorista o mayorista, tiene sus propias políticas de devolución, a las cuales el cliente debe acogerse en el momento en que se cierra la negociación. Aún así, las razones más comunes por las cuales se pueden presentar las devoluciones de productos farmacéuticos son las siguientes:</w:t>
      </w:r>
    </w:p>
    <w:p w14:paraId="493D9A2E" w14:textId="2505CEED" w:rsidR="009A4984" w:rsidRDefault="009A4984" w:rsidP="009A4984">
      <w:pPr>
        <w:pStyle w:val="Prrafodelista"/>
        <w:numPr>
          <w:ilvl w:val="0"/>
          <w:numId w:val="50"/>
        </w:numPr>
        <w:ind w:left="1418"/>
      </w:pPr>
      <w:r w:rsidRPr="009A4984">
        <w:rPr>
          <w:b/>
          <w:bCs/>
        </w:rPr>
        <w:t>Más cantidad de lo solicitado y/o facturado</w:t>
      </w:r>
      <w:r>
        <w:t>. Se presenta en el proceso de recepción y distribución externa, y se da cuando un producto ingresa con una o más unidades de las solicitadas en la orden de compra.</w:t>
      </w:r>
    </w:p>
    <w:p w14:paraId="6AE0143D" w14:textId="7D5A3782" w:rsidR="009A4984" w:rsidRDefault="00E224B9" w:rsidP="00E224B9">
      <w:pPr>
        <w:pStyle w:val="Prrafodelista"/>
        <w:numPr>
          <w:ilvl w:val="0"/>
          <w:numId w:val="50"/>
        </w:numPr>
        <w:ind w:left="1418" w:hanging="425"/>
      </w:pPr>
      <w:r w:rsidRPr="00E224B9">
        <w:rPr>
          <w:b/>
          <w:bCs/>
        </w:rPr>
        <w:t>Producto no solicitado en la orden de compra</w:t>
      </w:r>
      <w:r>
        <w:t>. Ocurre en el proceso de recepción y distribución externa, y se da cuando, dentro del pedido, se encuentra un producto que no fue solicitado en la orden de compra.</w:t>
      </w:r>
    </w:p>
    <w:p w14:paraId="091065F3" w14:textId="40600931" w:rsidR="00E224B9" w:rsidRDefault="00E224B9" w:rsidP="00E224B9">
      <w:pPr>
        <w:pStyle w:val="Prrafodelista"/>
        <w:numPr>
          <w:ilvl w:val="0"/>
          <w:numId w:val="50"/>
        </w:numPr>
        <w:ind w:left="1418"/>
      </w:pPr>
      <w:r w:rsidRPr="00E224B9">
        <w:rPr>
          <w:b/>
          <w:bCs/>
        </w:rPr>
        <w:t>Precio diferente al pactado en la cotización</w:t>
      </w:r>
      <w:r>
        <w:t>. Se produce durante el proceso de recepción y distribución externa, y se da cuando el precio de un producto está por encima o por debajo, del precio pactado.</w:t>
      </w:r>
    </w:p>
    <w:p w14:paraId="3F4D7285" w14:textId="7162D889" w:rsidR="00E224B9" w:rsidRDefault="00E224B9" w:rsidP="00E224B9">
      <w:pPr>
        <w:pStyle w:val="Prrafodelista"/>
        <w:numPr>
          <w:ilvl w:val="0"/>
          <w:numId w:val="50"/>
        </w:numPr>
        <w:ind w:left="1418"/>
      </w:pPr>
      <w:r w:rsidRPr="00C57B14">
        <w:rPr>
          <w:b/>
          <w:bCs/>
        </w:rPr>
        <w:t>No cumplimiento de las condiciones técnicas del producto</w:t>
      </w:r>
      <w:r>
        <w:t xml:space="preserve">. Se presenta en el proceso de recepción y distribución externa, y se da cuando el producto presenta: fecha de vencimiento menor a un año, daño organoléptico, su empaque está mojado, envase reventado, sello de seguridad violado, sin </w:t>
      </w:r>
      <w:r>
        <w:lastRenderedPageBreak/>
        <w:t>registro sanitario, sin lote, etiqueta en mal estado, apariencia de producto adulterado o fraudulento, entre otras.</w:t>
      </w:r>
    </w:p>
    <w:p w14:paraId="7819FE78" w14:textId="6F77AC02" w:rsidR="00C57B14" w:rsidRDefault="00C57B14" w:rsidP="00C57B14">
      <w:pPr>
        <w:pStyle w:val="Prrafodelista"/>
        <w:numPr>
          <w:ilvl w:val="0"/>
          <w:numId w:val="50"/>
        </w:numPr>
        <w:ind w:left="1418" w:hanging="425"/>
      </w:pPr>
      <w:r w:rsidRPr="00C57B14">
        <w:rPr>
          <w:b/>
          <w:bCs/>
        </w:rPr>
        <w:t>Producto con fecha de vencimiento próxima</w:t>
      </w:r>
      <w:r>
        <w:t>. Se produce en el proceso de almacenamiento. Se da cuando un producto tiene se fecha de caducidad muy próxima y esa fecha se encuentra dentro de los parámetros establecidos en la negociación con el proveedor. En el mayor de los casos, estos reciben devoluciones faltando de 4 a 6 meses para vencerse.</w:t>
      </w:r>
    </w:p>
    <w:p w14:paraId="5D0EC2C9" w14:textId="02A85677" w:rsidR="00C57B14" w:rsidRDefault="00C57B14" w:rsidP="00C57B14">
      <w:pPr>
        <w:pStyle w:val="Prrafodelista"/>
        <w:numPr>
          <w:ilvl w:val="0"/>
          <w:numId w:val="50"/>
        </w:numPr>
        <w:ind w:left="1418" w:hanging="425"/>
      </w:pPr>
      <w:r w:rsidRPr="00C57B14">
        <w:rPr>
          <w:b/>
          <w:bCs/>
        </w:rPr>
        <w:t>Devolución de medicamentos por parte del paciente, a la farmacia</w:t>
      </w:r>
      <w:r>
        <w:t xml:space="preserve">. </w:t>
      </w:r>
      <w:r w:rsidRPr="00C57B14">
        <w:t>Se lleva a cabo en el proceso de dispensación, y se da cuando un paciente o un cliente devuelve un medicamento al servicio farmacéutico, después de este haber sido dispensado.</w:t>
      </w:r>
    </w:p>
    <w:p w14:paraId="0F09B746" w14:textId="5069315A" w:rsidR="00C57B14" w:rsidRDefault="00C57B14" w:rsidP="00C57B14">
      <w:pPr>
        <w:pStyle w:val="Prrafodelista"/>
        <w:numPr>
          <w:ilvl w:val="0"/>
          <w:numId w:val="50"/>
        </w:numPr>
        <w:ind w:left="1418" w:hanging="425"/>
      </w:pPr>
      <w:r w:rsidRPr="00C57B14">
        <w:rPr>
          <w:b/>
          <w:bCs/>
        </w:rPr>
        <w:t>Devolución intrahospitalaria</w:t>
      </w:r>
      <w:r>
        <w:t xml:space="preserve">. </w:t>
      </w:r>
      <w:r w:rsidRPr="00C57B14">
        <w:t>Esta devolución presenta en el proceso de distribución intrahospitalaria. Se da cuando el servicio de enfermería de las áreas de urgencias, hospitalización, pediatría, entre otras, realizan una devolución de productos al servicio farmacéutico, ya sea por cambio de tratamiento, reacción adversa, salida del paciente, fallecimiento del paciente, etc.</w:t>
      </w:r>
    </w:p>
    <w:p w14:paraId="6E97294D" w14:textId="3818667C" w:rsidR="00C57B14" w:rsidRDefault="00C57B14" w:rsidP="00C57B14">
      <w:pPr>
        <w:pStyle w:val="Prrafodelista"/>
        <w:ind w:left="1418" w:firstLine="0"/>
        <w:rPr>
          <w:b/>
          <w:bCs/>
        </w:rPr>
      </w:pPr>
    </w:p>
    <w:p w14:paraId="1B207219" w14:textId="77777777" w:rsidR="00C57B14" w:rsidRDefault="00C57B14" w:rsidP="00C57B14">
      <w:pPr>
        <w:pStyle w:val="Prrafodelista"/>
        <w:ind w:left="1418" w:firstLine="0"/>
      </w:pPr>
    </w:p>
    <w:p w14:paraId="62319AE0" w14:textId="190AB001" w:rsidR="003275C6" w:rsidRDefault="00C57B14" w:rsidP="003275C6">
      <w:r w:rsidRPr="00C57B14">
        <w:t xml:space="preserve">Para el caso Devolución de medicamentos por parte del paciente a la farmacia, la Ley 29/2006 del artículo 2.6 de la Ley de Garantías y Uso Racional de los Medicamentos, prohíbe la dispensación, por parte del farmacéutico, de cualquier medicamento que haya sido dispensado previamente a otro paciente y haya sido devuelto por él. Esto se da porque a partir del momento que es dispensado el </w:t>
      </w:r>
      <w:r w:rsidRPr="00C57B14">
        <w:lastRenderedPageBreak/>
        <w:t>medicamento, no hay forma de garantizar que este mantenga su calidad de conservación.</w:t>
      </w:r>
    </w:p>
    <w:p w14:paraId="4A0ED06F" w14:textId="4D831E41" w:rsidR="00C57B14" w:rsidRDefault="00C57B14" w:rsidP="003275C6">
      <w:r w:rsidRPr="00C57B14">
        <w:t>En este orden de ideas, las farmacias tienen prohibido recibir devolución de pacientes o usuarios en cualquiera de los casos, excepto:</w:t>
      </w:r>
    </w:p>
    <w:p w14:paraId="3A2C7BA8" w14:textId="3B8D1B46" w:rsidR="00C57B14" w:rsidRDefault="00C57B14" w:rsidP="00C57B14">
      <w:r>
        <w:t>Si el medicamento fue dispensado a través de un domiciliario y este, al ser recibido, no cumple con los estándares de calidad o es diferente al solicitado. En ese caso, el domiciliario está en la obligación de recibir el medicamento como devolución y cambiarlo por otro, o entregar el realmente solicitado.</w:t>
      </w:r>
    </w:p>
    <w:p w14:paraId="2F5C2705" w14:textId="3F3DBD4B" w:rsidR="00C57B14" w:rsidRDefault="00C57B14" w:rsidP="00C57B14">
      <w:r>
        <w:t>Si el farmacéutico se equivoca al dispensar y él mismo o el paciente caen en cuenta del error. En este caso, es obligación del farmacéutico asumir su error y recibir el medicamento como devolución.</w:t>
      </w:r>
    </w:p>
    <w:p w14:paraId="3E93C8B4" w14:textId="17F95B76" w:rsidR="00C57B14" w:rsidRDefault="00C57B14" w:rsidP="00C57B14">
      <w:r w:rsidRPr="00C57B14">
        <w:t>Cualquier producto devuelto, solo podrá ser reintegrado al inventario siempre y cuando, después de haber sido revisado y analizado por el departamento de calidad, y se confirme que el producto cumple con todos los estándares de calidad, de lo contrario deberá considerarse no adecuado para su reutilización y pasará a ser destruido bajo los protocolos que se tengan definidos para tal caso.</w:t>
      </w:r>
    </w:p>
    <w:p w14:paraId="54367038" w14:textId="477BF095" w:rsidR="00C57B14" w:rsidRDefault="00C57B14" w:rsidP="00C57B14"/>
    <w:p w14:paraId="78C94E9B" w14:textId="0F3488A1" w:rsidR="00C57B14" w:rsidRDefault="00C57B14" w:rsidP="00C57B14">
      <w:pPr>
        <w:pStyle w:val="Ttulo1"/>
      </w:pPr>
      <w:bookmarkStart w:id="3" w:name="_Toc141719582"/>
      <w:r w:rsidRPr="00C57B14">
        <w:t>Registros y formatos</w:t>
      </w:r>
      <w:bookmarkEnd w:id="3"/>
    </w:p>
    <w:p w14:paraId="6D6A3166" w14:textId="553D54CE" w:rsidR="00C57B14" w:rsidRDefault="00C57B14" w:rsidP="00C57B14">
      <w:pPr>
        <w:rPr>
          <w:lang w:val="es-419" w:eastAsia="es-CO"/>
        </w:rPr>
      </w:pPr>
      <w:r w:rsidRPr="00C57B14">
        <w:rPr>
          <w:lang w:val="es-419" w:eastAsia="es-CO"/>
        </w:rPr>
        <w:t>Cuando se recibe devolución de un producto durante los procesos de recepción y distribución intrahospitalaria, se deben llevar registros que, como mínimo, incluyan la siguiente información:</w:t>
      </w:r>
    </w:p>
    <w:p w14:paraId="064CC3BA" w14:textId="77777777" w:rsidR="00C57B14" w:rsidRPr="00C57B14" w:rsidRDefault="00C57B14" w:rsidP="00C57B14">
      <w:pPr>
        <w:pStyle w:val="Prrafodelista"/>
        <w:numPr>
          <w:ilvl w:val="0"/>
          <w:numId w:val="51"/>
        </w:numPr>
        <w:rPr>
          <w:lang w:val="es-419" w:eastAsia="es-CO"/>
        </w:rPr>
      </w:pPr>
      <w:r w:rsidRPr="00C57B14">
        <w:rPr>
          <w:lang w:val="es-419" w:eastAsia="es-CO"/>
        </w:rPr>
        <w:lastRenderedPageBreak/>
        <w:t>Nombre del producto, concentración (para los medicamentos), forma farmacéutica, número de lote, fecha de caducidad o vencimiento.</w:t>
      </w:r>
    </w:p>
    <w:p w14:paraId="49FD5C69" w14:textId="77777777" w:rsidR="00C57B14" w:rsidRPr="00C57B14" w:rsidRDefault="00C57B14" w:rsidP="00C57B14">
      <w:pPr>
        <w:pStyle w:val="Prrafodelista"/>
        <w:numPr>
          <w:ilvl w:val="0"/>
          <w:numId w:val="51"/>
        </w:numPr>
        <w:rPr>
          <w:lang w:val="es-419" w:eastAsia="es-CO"/>
        </w:rPr>
      </w:pPr>
      <w:r w:rsidRPr="00C57B14">
        <w:rPr>
          <w:lang w:val="es-419" w:eastAsia="es-CO"/>
        </w:rPr>
        <w:t>Cantidad recibida frente a cantidad enviada.</w:t>
      </w:r>
    </w:p>
    <w:p w14:paraId="17CEF792" w14:textId="77777777" w:rsidR="00C57B14" w:rsidRPr="00C57B14" w:rsidRDefault="00C57B14" w:rsidP="00C57B14">
      <w:pPr>
        <w:pStyle w:val="Prrafodelista"/>
        <w:numPr>
          <w:ilvl w:val="0"/>
          <w:numId w:val="51"/>
        </w:numPr>
        <w:rPr>
          <w:lang w:val="es-419" w:eastAsia="es-CO"/>
        </w:rPr>
      </w:pPr>
      <w:r w:rsidRPr="00C57B14">
        <w:rPr>
          <w:lang w:val="es-419" w:eastAsia="es-CO"/>
        </w:rPr>
        <w:t>Nombre, Nit, teléfono y dirección del proveedor.</w:t>
      </w:r>
    </w:p>
    <w:p w14:paraId="79FC6431" w14:textId="77777777" w:rsidR="00C57B14" w:rsidRPr="00C57B14" w:rsidRDefault="00C57B14" w:rsidP="00C57B14">
      <w:pPr>
        <w:pStyle w:val="Prrafodelista"/>
        <w:numPr>
          <w:ilvl w:val="0"/>
          <w:numId w:val="51"/>
        </w:numPr>
        <w:rPr>
          <w:lang w:val="es-419" w:eastAsia="es-CO"/>
        </w:rPr>
      </w:pPr>
      <w:r w:rsidRPr="00C57B14">
        <w:rPr>
          <w:lang w:val="es-419" w:eastAsia="es-CO"/>
        </w:rPr>
        <w:t>Valoración de los contenedores por daños o contaminación.</w:t>
      </w:r>
    </w:p>
    <w:p w14:paraId="629CA8EE" w14:textId="77777777" w:rsidR="00C57B14" w:rsidRPr="00C57B14" w:rsidRDefault="00C57B14" w:rsidP="00C57B14">
      <w:pPr>
        <w:pStyle w:val="Prrafodelista"/>
        <w:numPr>
          <w:ilvl w:val="0"/>
          <w:numId w:val="51"/>
        </w:numPr>
        <w:rPr>
          <w:lang w:val="es-419" w:eastAsia="es-CO"/>
        </w:rPr>
      </w:pPr>
      <w:r w:rsidRPr="00C57B14">
        <w:rPr>
          <w:lang w:val="es-419" w:eastAsia="es-CO"/>
        </w:rPr>
        <w:t>Tiempo consumido durante el transporte.</w:t>
      </w:r>
    </w:p>
    <w:p w14:paraId="2F09997D" w14:textId="77777777" w:rsidR="00C57B14" w:rsidRPr="00C57B14" w:rsidRDefault="00C57B14" w:rsidP="00C57B14">
      <w:pPr>
        <w:pStyle w:val="Prrafodelista"/>
        <w:numPr>
          <w:ilvl w:val="0"/>
          <w:numId w:val="51"/>
        </w:numPr>
        <w:rPr>
          <w:lang w:val="es-419" w:eastAsia="es-CO"/>
        </w:rPr>
      </w:pPr>
      <w:r w:rsidRPr="00C57B14">
        <w:rPr>
          <w:lang w:val="es-419" w:eastAsia="es-CO"/>
        </w:rPr>
        <w:t>Registro de temperatura, sobre todo para los refrigerados.</w:t>
      </w:r>
    </w:p>
    <w:p w14:paraId="1E5220E3" w14:textId="77777777" w:rsidR="00C57B14" w:rsidRPr="00C57B14" w:rsidRDefault="00C57B14" w:rsidP="00C57B14">
      <w:pPr>
        <w:pStyle w:val="Prrafodelista"/>
        <w:numPr>
          <w:ilvl w:val="0"/>
          <w:numId w:val="51"/>
        </w:numPr>
        <w:rPr>
          <w:lang w:val="es-419" w:eastAsia="es-CO"/>
        </w:rPr>
      </w:pPr>
      <w:r w:rsidRPr="00C57B14">
        <w:rPr>
          <w:lang w:val="es-419" w:eastAsia="es-CO"/>
        </w:rPr>
        <w:t>Comprobar que las condiciones de almacenamiento y de transporte, determinadas por el fabricante del medicamento, se cumplieron.</w:t>
      </w:r>
    </w:p>
    <w:p w14:paraId="2CEB4837" w14:textId="4FC45B16" w:rsidR="00C57B14" w:rsidRPr="00C57B14" w:rsidRDefault="00C57B14" w:rsidP="00C57B14">
      <w:pPr>
        <w:pStyle w:val="Prrafodelista"/>
        <w:numPr>
          <w:ilvl w:val="0"/>
          <w:numId w:val="51"/>
        </w:numPr>
        <w:rPr>
          <w:lang w:val="es-419" w:eastAsia="es-CO"/>
        </w:rPr>
      </w:pPr>
      <w:r w:rsidRPr="00C57B14">
        <w:rPr>
          <w:lang w:val="es-419" w:eastAsia="es-CO"/>
        </w:rPr>
        <w:t>Causa de la devolución.</w:t>
      </w:r>
    </w:p>
    <w:p w14:paraId="7DCB0963" w14:textId="3AE744CB" w:rsidR="003275C6" w:rsidRDefault="003275C6" w:rsidP="003275C6"/>
    <w:p w14:paraId="5546E581" w14:textId="5A61B471" w:rsidR="00C57B14" w:rsidRDefault="00C57B14" w:rsidP="003275C6">
      <w:r w:rsidRPr="00C57B14">
        <w:t>Las devoluciones por próximos vencimientos, se registran en el formato entregado por el proveedor de dicho producto. La siguiente figura 1 es un ejemplo de un formato de registro de devoluciones.</w:t>
      </w:r>
    </w:p>
    <w:p w14:paraId="715441CB" w14:textId="486CF46B" w:rsidR="00A56573" w:rsidRDefault="00A56573" w:rsidP="003275C6"/>
    <w:p w14:paraId="16E98776" w14:textId="17FE8480" w:rsidR="00A56573" w:rsidRDefault="00A56573" w:rsidP="003275C6"/>
    <w:p w14:paraId="1A2DD2AE" w14:textId="6AF82F2E" w:rsidR="00A56573" w:rsidRDefault="00A56573" w:rsidP="003275C6"/>
    <w:p w14:paraId="4E36ECF9" w14:textId="2C2DF0A3" w:rsidR="00A56573" w:rsidRDefault="00A56573" w:rsidP="003275C6"/>
    <w:p w14:paraId="7975716E" w14:textId="298D8F75" w:rsidR="00A56573" w:rsidRDefault="00A56573" w:rsidP="003275C6"/>
    <w:p w14:paraId="36C55724" w14:textId="4BACDF89" w:rsidR="00A56573" w:rsidRDefault="00A56573" w:rsidP="003275C6"/>
    <w:p w14:paraId="42087458" w14:textId="59642B2F" w:rsidR="00A56573" w:rsidRDefault="00A56573" w:rsidP="003275C6"/>
    <w:p w14:paraId="72D99465" w14:textId="77777777" w:rsidR="00A56573" w:rsidRDefault="00A56573" w:rsidP="003275C6"/>
    <w:p w14:paraId="738FD6E3" w14:textId="571829DC" w:rsidR="00C57B14" w:rsidRDefault="00A56573" w:rsidP="00A56573">
      <w:pPr>
        <w:pStyle w:val="Figura"/>
      </w:pPr>
      <w:r w:rsidRPr="00A56573">
        <w:lastRenderedPageBreak/>
        <w:t>Ejemplo reporte de devolución</w:t>
      </w:r>
    </w:p>
    <w:p w14:paraId="78CEFDAC" w14:textId="150C9BCD" w:rsidR="003275C6" w:rsidRDefault="00A56573" w:rsidP="00A56573">
      <w:pPr>
        <w:jc w:val="center"/>
      </w:pPr>
      <w:r>
        <w:rPr>
          <w:noProof/>
        </w:rPr>
        <w:drawing>
          <wp:inline distT="0" distB="0" distL="0" distR="0" wp14:anchorId="1FC1D507" wp14:editId="7BF25CA7">
            <wp:extent cx="4648200" cy="5591175"/>
            <wp:effectExtent l="0" t="0" r="0" b="9525"/>
            <wp:docPr id="5" name="Imagen 5" descr="Figura 1. que muestra el formato de un reporte de dev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igura 1. que muestra el formato de un reporte de devolución."/>
                    <pic:cNvPicPr/>
                  </pic:nvPicPr>
                  <pic:blipFill>
                    <a:blip r:embed="rId15"/>
                    <a:stretch>
                      <a:fillRect/>
                    </a:stretch>
                  </pic:blipFill>
                  <pic:spPr>
                    <a:xfrm>
                      <a:off x="0" y="0"/>
                      <a:ext cx="4648200" cy="5591175"/>
                    </a:xfrm>
                    <a:prstGeom prst="rect">
                      <a:avLst/>
                    </a:prstGeom>
                  </pic:spPr>
                </pic:pic>
              </a:graphicData>
            </a:graphic>
          </wp:inline>
        </w:drawing>
      </w:r>
    </w:p>
    <w:p w14:paraId="27D7C5B8" w14:textId="77E49771" w:rsidR="003275C6" w:rsidRPr="00A56573" w:rsidRDefault="00A56573" w:rsidP="003275C6">
      <w:pPr>
        <w:rPr>
          <w:sz w:val="20"/>
          <w:szCs w:val="20"/>
        </w:rPr>
      </w:pPr>
      <w:r w:rsidRPr="00A56573">
        <w:rPr>
          <w:sz w:val="20"/>
          <w:szCs w:val="20"/>
        </w:rPr>
        <w:t>Nota. SENA (2021).</w:t>
      </w:r>
    </w:p>
    <w:p w14:paraId="5B19E1B2" w14:textId="5E428361" w:rsidR="00A56573" w:rsidRDefault="00E344DF" w:rsidP="003275C6">
      <w:r w:rsidRPr="00E344DF">
        <w:t>En el caso de la distribución intrahospitalaria, el Químico Farmacéutico con aprobación del comité de farmacia y terapéutica (COFYTE), definirá la información que se debe registrar en el formato de devoluciones. La siguiente figura 2 es un ejemplo de un formato de registro de devoluciones intrahospitalarias:</w:t>
      </w:r>
    </w:p>
    <w:p w14:paraId="38B6F98E" w14:textId="66E0CD0A" w:rsidR="00E344DF" w:rsidRDefault="00E344DF" w:rsidP="00E344DF">
      <w:pPr>
        <w:pStyle w:val="Figura"/>
      </w:pPr>
      <w:r w:rsidRPr="00E344DF">
        <w:lastRenderedPageBreak/>
        <w:t>Ejemplo formato registro de devoluciones intrahospitalarias</w:t>
      </w:r>
    </w:p>
    <w:p w14:paraId="5926EF05" w14:textId="259E8A83" w:rsidR="00E344DF" w:rsidRPr="00E344DF" w:rsidRDefault="00E344DF" w:rsidP="00E344DF">
      <w:pPr>
        <w:jc w:val="center"/>
        <w:rPr>
          <w:lang w:eastAsia="es-CO"/>
        </w:rPr>
      </w:pPr>
      <w:r>
        <w:rPr>
          <w:noProof/>
        </w:rPr>
        <w:drawing>
          <wp:inline distT="0" distB="0" distL="0" distR="0" wp14:anchorId="4E3479B0" wp14:editId="01023523">
            <wp:extent cx="6267450" cy="3695700"/>
            <wp:effectExtent l="0" t="0" r="0" b="0"/>
            <wp:docPr id="6" name="Imagen 6" descr="Figura 2. Formato que muestra la estructura de un formato de registro de devolución de medicamento al interior de un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igura 2. Formato que muestra la estructura de un formato de registro de devolución de medicamento al interior de un hospital."/>
                    <pic:cNvPicPr/>
                  </pic:nvPicPr>
                  <pic:blipFill>
                    <a:blip r:embed="rId16"/>
                    <a:stretch>
                      <a:fillRect/>
                    </a:stretch>
                  </pic:blipFill>
                  <pic:spPr>
                    <a:xfrm>
                      <a:off x="0" y="0"/>
                      <a:ext cx="6267450" cy="3695700"/>
                    </a:xfrm>
                    <a:prstGeom prst="rect">
                      <a:avLst/>
                    </a:prstGeom>
                  </pic:spPr>
                </pic:pic>
              </a:graphicData>
            </a:graphic>
          </wp:inline>
        </w:drawing>
      </w:r>
    </w:p>
    <w:p w14:paraId="08E4124F" w14:textId="3258A96F" w:rsidR="003275C6" w:rsidRPr="00E344DF" w:rsidRDefault="00E344DF" w:rsidP="003275C6">
      <w:pPr>
        <w:rPr>
          <w:sz w:val="20"/>
          <w:szCs w:val="20"/>
        </w:rPr>
      </w:pPr>
      <w:r w:rsidRPr="00E344DF">
        <w:rPr>
          <w:sz w:val="20"/>
          <w:szCs w:val="20"/>
        </w:rPr>
        <w:t>Nota. SENA (2021).</w:t>
      </w:r>
    </w:p>
    <w:p w14:paraId="0E68C61E" w14:textId="4D220D2D" w:rsidR="00E344DF" w:rsidRDefault="00E344DF" w:rsidP="00E344DF">
      <w:pPr>
        <w:pStyle w:val="Ttulo1"/>
      </w:pPr>
      <w:bookmarkStart w:id="4" w:name="_Toc141719583"/>
      <w:r w:rsidRPr="00E344DF">
        <w:t>Métodos de control</w:t>
      </w:r>
      <w:bookmarkEnd w:id="4"/>
    </w:p>
    <w:p w14:paraId="2E605A8E" w14:textId="3C993CC4" w:rsidR="00E344DF" w:rsidRDefault="00E344DF" w:rsidP="00E344DF">
      <w:pPr>
        <w:rPr>
          <w:lang w:val="es-419" w:eastAsia="es-CO"/>
        </w:rPr>
      </w:pPr>
      <w:r w:rsidRPr="00E344DF">
        <w:rPr>
          <w:lang w:val="es-419" w:eastAsia="es-CO"/>
        </w:rPr>
        <w:t>Los productos farmacéuticos, destinados a devolución, deben ser llevados al área de cuarentena II negra, la cual debe ser lo suficientemente grande para garantizar el almacenamiento de los diferentes productos y la conservación de los mismos; por lo tanto, debe permanecer limpia, seca, con buena iluminación, mantener la temperatura requerida, con separadores para las diferentes causas de devolución y alejada de los factores ambientales que deterioran los productos. Esta área debe estar inventariada y los productos deben permanecer debidamente señalizados mientras la persona calificada o responsable, los recoge.</w:t>
      </w:r>
    </w:p>
    <w:p w14:paraId="5DBD0B56" w14:textId="25D914D5" w:rsidR="00E344DF" w:rsidRDefault="00E344DF" w:rsidP="00E344DF">
      <w:pPr>
        <w:rPr>
          <w:lang w:val="es-419" w:eastAsia="es-CO"/>
        </w:rPr>
      </w:pPr>
      <w:r w:rsidRPr="00E344DF">
        <w:rPr>
          <w:lang w:val="es-419" w:eastAsia="es-CO"/>
        </w:rPr>
        <w:lastRenderedPageBreak/>
        <w:t>Dentro del control de las devoluciones, también se tiene en cuenta el transporte de las mismas; por lo general, los proveedores son los que recogen y transportan los productos devueltos y esto con el fin de garantizar que el manejo y manipulación no ponga en riesgo la calidad de los mismos. En definitiva, quien se encargue del transporte, debe asegurarse que los productos en devolución permanezcan dentro de los perfiles de temperatura determinados por el fabricante, de manera que estos puedan ser devueltos al inventario de forma segura, en caso tal que esa sea la decisión final.</w:t>
      </w:r>
    </w:p>
    <w:p w14:paraId="1400FCA2" w14:textId="545DD1C6" w:rsidR="00E344DF" w:rsidRDefault="00E344DF" w:rsidP="00E344DF">
      <w:pPr>
        <w:rPr>
          <w:lang w:val="es-419" w:eastAsia="es-CO"/>
        </w:rPr>
      </w:pPr>
      <w:r w:rsidRPr="00E344DF">
        <w:rPr>
          <w:lang w:val="es-419" w:eastAsia="es-CO"/>
        </w:rPr>
        <w:t>Los formatos elaborados en el momento de la devolución, deben estar firmados no solo por la persona que recoge, sino también por la que entrega; esto con el fin que tanto el proveedor como el cliente, puedan realizar trazabilidad al producto en devolución y además, sirva como soporte en caso tal que se presenten confusiones.</w:t>
      </w:r>
    </w:p>
    <w:p w14:paraId="2E457325" w14:textId="77777777" w:rsidR="00E344DF" w:rsidRDefault="00E344DF" w:rsidP="00E344DF">
      <w:pPr>
        <w:rPr>
          <w:lang w:val="es-419" w:eastAsia="es-CO"/>
        </w:rPr>
      </w:pPr>
    </w:p>
    <w:p w14:paraId="18ACE9FD" w14:textId="77777777" w:rsidR="00E344DF" w:rsidRPr="00E344DF" w:rsidRDefault="00E344DF" w:rsidP="00E344DF">
      <w:pPr>
        <w:rPr>
          <w:lang w:val="es-419" w:eastAsia="es-CO"/>
        </w:rPr>
      </w:pPr>
    </w:p>
    <w:p w14:paraId="64009B0F" w14:textId="0649721C" w:rsidR="003275C6" w:rsidRDefault="003275C6" w:rsidP="003275C6"/>
    <w:p w14:paraId="4AAB3F9D" w14:textId="26B440A7" w:rsidR="003275C6" w:rsidRDefault="003275C6" w:rsidP="003275C6"/>
    <w:p w14:paraId="6C211F9B" w14:textId="4DC66E73" w:rsidR="003275C6" w:rsidRDefault="003275C6" w:rsidP="003275C6"/>
    <w:p w14:paraId="50881668" w14:textId="0FD06B73" w:rsidR="003275C6" w:rsidRDefault="003275C6" w:rsidP="003275C6"/>
    <w:p w14:paraId="49B6E22F" w14:textId="081002E3" w:rsidR="003275C6" w:rsidRDefault="003275C6" w:rsidP="003275C6"/>
    <w:p w14:paraId="694B81D3" w14:textId="10C060CF" w:rsidR="003275C6" w:rsidRDefault="003275C6" w:rsidP="003275C6"/>
    <w:p w14:paraId="3F4EA0EB" w14:textId="4680284B" w:rsidR="003275C6" w:rsidRDefault="003275C6" w:rsidP="003275C6"/>
    <w:p w14:paraId="427B7F23" w14:textId="3CD5D2D6" w:rsidR="00EE4C61" w:rsidRPr="00EE4C61" w:rsidRDefault="00EE4C61" w:rsidP="00B63204">
      <w:pPr>
        <w:pStyle w:val="Titulosgenerales"/>
      </w:pPr>
      <w:bookmarkStart w:id="5" w:name="_Toc141719584"/>
      <w:r w:rsidRPr="00EE4C61">
        <w:lastRenderedPageBreak/>
        <w:t>Síntesis</w:t>
      </w:r>
      <w:bookmarkEnd w:id="5"/>
      <w:r w:rsidRPr="00EE4C61">
        <w:t xml:space="preserve"> </w:t>
      </w:r>
    </w:p>
    <w:p w14:paraId="6327EF10" w14:textId="54A4E86E" w:rsidR="00565A95" w:rsidRDefault="002A4ACB" w:rsidP="00565A95">
      <w:pPr>
        <w:rPr>
          <w:lang w:val="es-419" w:eastAsia="es-CO"/>
        </w:rPr>
      </w:pPr>
      <w:r w:rsidRPr="002A4ACB">
        <w:rPr>
          <w:lang w:val="es-419" w:eastAsia="es-CO"/>
        </w:rPr>
        <w:t>El proceso de recepción de productos farmacéuticos implica la aplicación de procedimientos técnicos que permitan garantizar la calidad de los medicamentos y dispositivos médicos y con esto evitar devoluciones de los mismos, lo que redunda en la prevención de pérdidas económicas y evitar inconvenientes con los proveedores y lo que sería más grave aún con el cliente final que para este caso es el usuario quien requiere de un producto de excelente calidad ya que se está hablando de su salud. Por lo anterior este componente formativo abordó los diferentes temas relacionados con la devolución de productos farmacéuticos durante el proceso de recepción, dichos temas se observan a través del siguiente esquema:</w:t>
      </w:r>
    </w:p>
    <w:p w14:paraId="5575A538" w14:textId="0559D857" w:rsidR="002A4ACB" w:rsidRPr="00565A95" w:rsidRDefault="002A4ACB" w:rsidP="002A4ACB">
      <w:pPr>
        <w:jc w:val="center"/>
        <w:rPr>
          <w:lang w:val="es-419" w:eastAsia="es-CO"/>
        </w:rPr>
      </w:pPr>
      <w:r>
        <w:rPr>
          <w:noProof/>
        </w:rPr>
        <w:drawing>
          <wp:inline distT="0" distB="0" distL="0" distR="0" wp14:anchorId="62CD2CFD" wp14:editId="09149FD6">
            <wp:extent cx="6332220" cy="2514600"/>
            <wp:effectExtent l="0" t="0" r="0" b="0"/>
            <wp:docPr id="1" name="Imagen 1" descr="mapa conceptual que resume los temas tratados dentro del componente formativo denominado: Devolución de productos farmacéuticos, donde se abordó el procedimiento que debe llevar a cabo para estas devoluciones, los registros y formatos a utilizar y los métodos de control de los productos farmacéu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 conceptual que resume los temas tratados dentro del componente formativo denominado: Devolución de productos farmacéuticos, donde se abordó el procedimiento que debe llevar a cabo para estas devoluciones, los registros y formatos a utilizar y los métodos de control de los productos farmacéuticos."/>
                    <pic:cNvPicPr/>
                  </pic:nvPicPr>
                  <pic:blipFill>
                    <a:blip r:embed="rId17"/>
                    <a:stretch>
                      <a:fillRect/>
                    </a:stretch>
                  </pic:blipFill>
                  <pic:spPr>
                    <a:xfrm>
                      <a:off x="0" y="0"/>
                      <a:ext cx="6332220" cy="2514600"/>
                    </a:xfrm>
                    <a:prstGeom prst="rect">
                      <a:avLst/>
                    </a:prstGeom>
                  </pic:spPr>
                </pic:pic>
              </a:graphicData>
            </a:graphic>
          </wp:inline>
        </w:drawing>
      </w:r>
    </w:p>
    <w:p w14:paraId="28A2E9E7" w14:textId="74C8BF29"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6" w:name="_Toc141719585"/>
      <w:r w:rsidRPr="00723503">
        <w:lastRenderedPageBreak/>
        <w:t>Material complementario</w:t>
      </w:r>
      <w:bookmarkEnd w:id="6"/>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2A4ACB"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038D6CC9" w:rsidR="002A4ACB" w:rsidRDefault="002A4ACB" w:rsidP="002A4ACB">
            <w:pPr>
              <w:pStyle w:val="TextoTablas"/>
            </w:pPr>
            <w:r w:rsidRPr="008A5CD9">
              <w:t>Procedimiento de devoluciones</w:t>
            </w:r>
          </w:p>
        </w:tc>
        <w:tc>
          <w:tcPr>
            <w:tcW w:w="2835" w:type="dxa"/>
          </w:tcPr>
          <w:p w14:paraId="6B46D09D" w14:textId="639308F3" w:rsidR="002A4ACB" w:rsidRDefault="002A4ACB" w:rsidP="002A4ACB">
            <w:pPr>
              <w:pStyle w:val="TextoTablas"/>
            </w:pPr>
            <w:r w:rsidRPr="008A5CD9">
              <w:t>Farmacéuticos. (2018). ¿Por qué no podemos devolver los medicamentos a la farmacia?</w:t>
            </w:r>
          </w:p>
        </w:tc>
        <w:tc>
          <w:tcPr>
            <w:tcW w:w="2268" w:type="dxa"/>
          </w:tcPr>
          <w:p w14:paraId="16BE0076" w14:textId="1ACB3962" w:rsidR="002A4ACB" w:rsidRDefault="002A4ACB" w:rsidP="002A4ACB">
            <w:pPr>
              <w:pStyle w:val="TextoTablas"/>
            </w:pPr>
            <w:r w:rsidRPr="008A5CD9">
              <w:t>Video</w:t>
            </w:r>
          </w:p>
        </w:tc>
        <w:tc>
          <w:tcPr>
            <w:tcW w:w="2879" w:type="dxa"/>
          </w:tcPr>
          <w:p w14:paraId="1224783A" w14:textId="1B2B0AA9" w:rsidR="002A4ACB" w:rsidRDefault="00000000" w:rsidP="002A4ACB">
            <w:pPr>
              <w:pStyle w:val="TextoTablas"/>
            </w:pPr>
            <w:hyperlink r:id="rId18" w:history="1">
              <w:r w:rsidR="002A4ACB" w:rsidRPr="00183627">
                <w:rPr>
                  <w:rStyle w:val="Hipervnculo"/>
                </w:rPr>
                <w:t>https://www.youtube.com/watch?v=AFR9xbKe1mI&amp;ab_channel=Farmac%C3%A9uticos</w:t>
              </w:r>
            </w:hyperlink>
            <w:r w:rsidR="002A4ACB">
              <w:t xml:space="preserve"> </w:t>
            </w:r>
          </w:p>
        </w:tc>
      </w:tr>
      <w:tr w:rsidR="002A4ACB" w14:paraId="1CAB4FF1" w14:textId="77777777" w:rsidTr="00565A95">
        <w:tc>
          <w:tcPr>
            <w:tcW w:w="1980" w:type="dxa"/>
          </w:tcPr>
          <w:p w14:paraId="50F9840A" w14:textId="016515AF" w:rsidR="002A4ACB" w:rsidRDefault="002A4ACB" w:rsidP="002A4ACB">
            <w:pPr>
              <w:pStyle w:val="TextoTablas"/>
            </w:pPr>
            <w:r w:rsidRPr="008A5CD9">
              <w:t>Procedimiento de devoluciones</w:t>
            </w:r>
          </w:p>
        </w:tc>
        <w:tc>
          <w:tcPr>
            <w:tcW w:w="2835" w:type="dxa"/>
          </w:tcPr>
          <w:p w14:paraId="0F4B6288" w14:textId="1DFD8D14" w:rsidR="002A4ACB" w:rsidRDefault="002A4ACB" w:rsidP="002A4ACB">
            <w:pPr>
              <w:pStyle w:val="TextoTablas"/>
            </w:pPr>
            <w:r w:rsidRPr="008A5CD9">
              <w:t>García, Y. (2017). Devolución de medicamentos HMUA.</w:t>
            </w:r>
          </w:p>
        </w:tc>
        <w:tc>
          <w:tcPr>
            <w:tcW w:w="2268" w:type="dxa"/>
          </w:tcPr>
          <w:p w14:paraId="5A0FA849" w14:textId="2319FC14" w:rsidR="002A4ACB" w:rsidRDefault="002A4ACB" w:rsidP="002A4ACB">
            <w:pPr>
              <w:pStyle w:val="TextoTablas"/>
            </w:pPr>
            <w:r w:rsidRPr="008A5CD9">
              <w:t>Video</w:t>
            </w:r>
          </w:p>
        </w:tc>
        <w:tc>
          <w:tcPr>
            <w:tcW w:w="2879" w:type="dxa"/>
          </w:tcPr>
          <w:p w14:paraId="25B7F128" w14:textId="640CE56F" w:rsidR="002A4ACB" w:rsidRDefault="00000000" w:rsidP="002A4ACB">
            <w:pPr>
              <w:pStyle w:val="TextoTablas"/>
            </w:pPr>
            <w:hyperlink r:id="rId19" w:history="1">
              <w:r w:rsidR="002A4ACB" w:rsidRPr="00183627">
                <w:rPr>
                  <w:rStyle w:val="Hipervnculo"/>
                </w:rPr>
                <w:t>https://www.youtube.com/watch?v=laVQ-CKXE98</w:t>
              </w:r>
            </w:hyperlink>
            <w:r w:rsidR="002A4ACB">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7" w:name="_Toc141719586"/>
      <w:r>
        <w:lastRenderedPageBreak/>
        <w:t>Glosario</w:t>
      </w:r>
      <w:bookmarkEnd w:id="7"/>
    </w:p>
    <w:p w14:paraId="08B529EB" w14:textId="77777777" w:rsidR="002A4ACB" w:rsidRPr="002A4ACB" w:rsidRDefault="002A4ACB" w:rsidP="002A4ACB">
      <w:r w:rsidRPr="002A4ACB">
        <w:rPr>
          <w:b/>
          <w:bCs/>
        </w:rPr>
        <w:t xml:space="preserve">Alteración: </w:t>
      </w:r>
      <w:r w:rsidRPr="002A4ACB">
        <w:t>cambio de las características, la esencia, o la forma de una cosa.</w:t>
      </w:r>
    </w:p>
    <w:p w14:paraId="5AEEE1CC" w14:textId="77777777" w:rsidR="002A4ACB" w:rsidRPr="002A4ACB" w:rsidRDefault="002A4ACB" w:rsidP="002A4ACB">
      <w:r w:rsidRPr="002A4ACB">
        <w:rPr>
          <w:b/>
          <w:bCs/>
        </w:rPr>
        <w:t xml:space="preserve">Distribución externa: </w:t>
      </w:r>
      <w:r w:rsidRPr="002A4ACB">
        <w:t>se genera cuando los laboratorios fabricantes o distribuidores mayoristas, le venden productos a los minoristas. O cuando un servicio farmacéutico le vende un producto a un cliente.</w:t>
      </w:r>
    </w:p>
    <w:p w14:paraId="103F1904" w14:textId="77777777" w:rsidR="002A4ACB" w:rsidRPr="002A4ACB" w:rsidRDefault="002A4ACB" w:rsidP="002A4ACB">
      <w:r w:rsidRPr="002A4ACB">
        <w:rPr>
          <w:b/>
          <w:bCs/>
        </w:rPr>
        <w:t xml:space="preserve">Distribución intrahospitalaria: </w:t>
      </w:r>
      <w:r w:rsidRPr="002A4ACB">
        <w:t>es la distribución que se da dentro de un hospital o clínica y comprende: una prescripción médica a un paciente, una entrega de productos farmacéuticos a la enfermera, administración correcta de los medicamentos, registro de los medicamentos administrados y/o la devolución debidamente sustentada de los no administrados.</w:t>
      </w:r>
    </w:p>
    <w:p w14:paraId="2A0FD098" w14:textId="77777777" w:rsidR="002A4ACB" w:rsidRPr="002A4ACB" w:rsidRDefault="002A4ACB" w:rsidP="002A4ACB">
      <w:pPr>
        <w:rPr>
          <w:b/>
          <w:bCs/>
        </w:rPr>
      </w:pPr>
      <w:r w:rsidRPr="002A4ACB">
        <w:rPr>
          <w:b/>
          <w:bCs/>
        </w:rPr>
        <w:t xml:space="preserve">Estándar de calidad: </w:t>
      </w:r>
      <w:r w:rsidRPr="002A4ACB">
        <w:t>conjunto de propiedades inherentes a una cosa que permite caracterizarla y valorarla con respecto a las restantes de su especie.</w:t>
      </w:r>
    </w:p>
    <w:p w14:paraId="2EB7C8D0" w14:textId="77777777" w:rsidR="002A4ACB" w:rsidRPr="002A4ACB" w:rsidRDefault="002A4ACB" w:rsidP="002A4ACB">
      <w:r w:rsidRPr="002A4ACB">
        <w:rPr>
          <w:b/>
          <w:bCs/>
        </w:rPr>
        <w:t xml:space="preserve">Incumplimiento: </w:t>
      </w:r>
      <w:r w:rsidRPr="002A4ACB">
        <w:t>no hacer aquello que determina una obligación, una ley, una orden, un castigo, un compromiso, una promesa.</w:t>
      </w:r>
    </w:p>
    <w:p w14:paraId="3FF32D8B" w14:textId="77777777" w:rsidR="002A4ACB" w:rsidRPr="002A4ACB" w:rsidRDefault="002A4ACB" w:rsidP="002A4ACB">
      <w:r w:rsidRPr="002A4ACB">
        <w:rPr>
          <w:b/>
          <w:bCs/>
        </w:rPr>
        <w:t xml:space="preserve">Reacción adversa: </w:t>
      </w:r>
      <w:r w:rsidRPr="002A4ACB">
        <w:t>es toda aquella respuesta nociva, no deseada y no intencionada, que se produce tras la administración de un fármaco, con dosis utilizadas habitualmente en la especie humana, para prevenir, diagnosticar o tratar una enfermedad.</w:t>
      </w:r>
    </w:p>
    <w:p w14:paraId="543DAC79" w14:textId="04534EF5" w:rsidR="00B63204" w:rsidRPr="002A4ACB" w:rsidRDefault="002A4ACB" w:rsidP="002A4ACB">
      <w:pPr>
        <w:rPr>
          <w:lang w:val="es-419" w:eastAsia="es-CO"/>
        </w:rPr>
      </w:pPr>
      <w:r w:rsidRPr="002A4ACB">
        <w:rPr>
          <w:b/>
          <w:bCs/>
        </w:rPr>
        <w:t xml:space="preserve">Trazabilidad: </w:t>
      </w:r>
      <w:r w:rsidRPr="002A4ACB">
        <w:t>serie de procedimientos que permiten seguir el proceso de evolución de un producto en cada una de sus etapas.</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40B682D2" w14:textId="55A1BD8D" w:rsidR="002E5B3A" w:rsidRDefault="002E5B3A" w:rsidP="00B63204">
      <w:pPr>
        <w:pStyle w:val="Titulosgenerales"/>
      </w:pPr>
      <w:bookmarkStart w:id="8" w:name="_Toc141719587"/>
      <w:r>
        <w:lastRenderedPageBreak/>
        <w:t>Referencias bibliográficas</w:t>
      </w:r>
      <w:bookmarkEnd w:id="8"/>
      <w:r>
        <w:t xml:space="preserve"> </w:t>
      </w:r>
    </w:p>
    <w:p w14:paraId="0383D501" w14:textId="24DE4EB3" w:rsidR="004F37EF" w:rsidRDefault="004F37EF" w:rsidP="004F37EF">
      <w:r>
        <w:t xml:space="preserve">Enfarma. (2021). Manejo de devoluciones de productos farmacéuticos. </w:t>
      </w:r>
      <w:hyperlink r:id="rId20" w:history="1">
        <w:r w:rsidRPr="00183627">
          <w:rPr>
            <w:rStyle w:val="Hipervnculo"/>
          </w:rPr>
          <w:t>https://enfarma.lat/index.php/articulos/7-manejo-de-devoluciones-de-productos-farmaceuticos</w:t>
        </w:r>
      </w:hyperlink>
      <w:r>
        <w:t xml:space="preserve"> </w:t>
      </w:r>
    </w:p>
    <w:p w14:paraId="3CBA9700" w14:textId="578900C9" w:rsidR="00B63204" w:rsidRDefault="004F37EF" w:rsidP="004F37EF">
      <w:r>
        <w:t xml:space="preserve">Jefatura del Estado. (2006). Ley 29/2006, de 26 de julio, de garantías y uso racional de los medicamentos y productos sanitarios. Boletín Oficial del Estado. </w:t>
      </w:r>
      <w:hyperlink r:id="rId21" w:history="1">
        <w:r w:rsidRPr="00183627">
          <w:rPr>
            <w:rStyle w:val="Hipervnculo"/>
          </w:rPr>
          <w:t>https://www.boe.es/buscar/pdf/2006/BOE-A-2006-13554-consolidado.pdf</w:t>
        </w:r>
      </w:hyperlink>
      <w:r w:rsidR="00227EBC">
        <w:t>.</w:t>
      </w:r>
      <w:r>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0A83710F"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4F37EF"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4F37EF" w:rsidRDefault="001E5455" w:rsidP="009D218F">
            <w:pPr>
              <w:pStyle w:val="TextoTablas"/>
              <w:rPr>
                <w:rFonts w:asciiTheme="minorHAnsi" w:hAnsiTheme="minorHAnsi" w:cstheme="minorHAnsi"/>
                <w:sz w:val="28"/>
                <w:szCs w:val="28"/>
              </w:rPr>
            </w:pPr>
            <w:r w:rsidRPr="004F37EF">
              <w:rPr>
                <w:rFonts w:asciiTheme="minorHAnsi" w:hAnsiTheme="minorHAnsi" w:cstheme="minorHAnsi"/>
                <w:sz w:val="28"/>
                <w:szCs w:val="28"/>
              </w:rPr>
              <w:t>Liliana Victoria Morales Gualdrón</w:t>
            </w:r>
          </w:p>
        </w:tc>
        <w:tc>
          <w:tcPr>
            <w:tcW w:w="3261" w:type="dxa"/>
          </w:tcPr>
          <w:p w14:paraId="2AA4F263" w14:textId="77777777" w:rsidR="001E5455" w:rsidRPr="004F37EF" w:rsidRDefault="001E5455" w:rsidP="009D218F">
            <w:pPr>
              <w:pStyle w:val="TextoTablas"/>
              <w:rPr>
                <w:rFonts w:asciiTheme="minorHAnsi" w:hAnsiTheme="minorHAnsi" w:cstheme="minorHAnsi"/>
                <w:sz w:val="28"/>
                <w:szCs w:val="28"/>
              </w:rPr>
            </w:pPr>
            <w:r w:rsidRPr="004F37EF">
              <w:rPr>
                <w:rFonts w:asciiTheme="minorHAnsi" w:hAnsiTheme="minorHAnsi" w:cstheme="minorHAnsi"/>
                <w:sz w:val="28"/>
                <w:szCs w:val="28"/>
              </w:rPr>
              <w:t>Responsable de línea de producción</w:t>
            </w:r>
          </w:p>
        </w:tc>
        <w:tc>
          <w:tcPr>
            <w:tcW w:w="3969" w:type="dxa"/>
          </w:tcPr>
          <w:p w14:paraId="14F389EC" w14:textId="77777777" w:rsidR="001E5455" w:rsidRPr="004F37EF" w:rsidRDefault="001E5455" w:rsidP="009D218F">
            <w:pPr>
              <w:pStyle w:val="TextoTablas"/>
              <w:rPr>
                <w:rFonts w:asciiTheme="minorHAnsi" w:hAnsiTheme="minorHAnsi" w:cstheme="minorHAnsi"/>
                <w:sz w:val="28"/>
                <w:szCs w:val="28"/>
              </w:rPr>
            </w:pPr>
            <w:r w:rsidRPr="004F37EF">
              <w:rPr>
                <w:rFonts w:asciiTheme="minorHAnsi" w:hAnsiTheme="minorHAnsi" w:cstheme="minorHAnsi"/>
                <w:sz w:val="28"/>
                <w:szCs w:val="28"/>
              </w:rPr>
              <w:t>Centro de Gestión de Mercados, Logística y Tecnologías de la Información - Regional Distrito Capital</w:t>
            </w:r>
          </w:p>
        </w:tc>
      </w:tr>
      <w:tr w:rsidR="004F37EF"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2A05A8C0" w:rsidR="004F37EF" w:rsidRPr="004F37EF" w:rsidRDefault="004F37EF" w:rsidP="004F37EF">
            <w:pPr>
              <w:pStyle w:val="TextoTablas"/>
              <w:rPr>
                <w:rFonts w:asciiTheme="minorHAnsi" w:hAnsiTheme="minorHAnsi" w:cstheme="minorHAnsi"/>
                <w:sz w:val="28"/>
                <w:szCs w:val="28"/>
              </w:rPr>
            </w:pPr>
            <w:r w:rsidRPr="004F37EF">
              <w:rPr>
                <w:sz w:val="28"/>
                <w:szCs w:val="28"/>
              </w:rPr>
              <w:t>Rafael Neftalí Lizcano Reyes</w:t>
            </w:r>
          </w:p>
        </w:tc>
        <w:tc>
          <w:tcPr>
            <w:tcW w:w="3261" w:type="dxa"/>
          </w:tcPr>
          <w:p w14:paraId="40AFC1A3" w14:textId="36279B01" w:rsidR="004F37EF" w:rsidRPr="004F37EF" w:rsidRDefault="004F37EF" w:rsidP="004F37EF">
            <w:pPr>
              <w:pStyle w:val="TextoTablas"/>
              <w:rPr>
                <w:rFonts w:asciiTheme="minorHAnsi" w:hAnsiTheme="minorHAnsi" w:cstheme="minorHAnsi"/>
                <w:sz w:val="28"/>
                <w:szCs w:val="28"/>
              </w:rPr>
            </w:pPr>
            <w:r w:rsidRPr="004F37EF">
              <w:rPr>
                <w:sz w:val="28"/>
                <w:szCs w:val="28"/>
              </w:rPr>
              <w:t>Asesor pedagógico</w:t>
            </w:r>
          </w:p>
        </w:tc>
        <w:tc>
          <w:tcPr>
            <w:tcW w:w="3969" w:type="dxa"/>
          </w:tcPr>
          <w:p w14:paraId="31A467A7" w14:textId="28723341" w:rsidR="004F37EF" w:rsidRPr="004F37EF" w:rsidRDefault="004F37EF" w:rsidP="004F37EF">
            <w:pPr>
              <w:pStyle w:val="TextoTablas"/>
              <w:rPr>
                <w:rFonts w:asciiTheme="minorHAnsi" w:hAnsiTheme="minorHAnsi" w:cstheme="minorHAnsi"/>
                <w:sz w:val="28"/>
                <w:szCs w:val="28"/>
              </w:rPr>
            </w:pPr>
            <w:r w:rsidRPr="004F37EF">
              <w:rPr>
                <w:sz w:val="28"/>
                <w:szCs w:val="28"/>
              </w:rPr>
              <w:t>Centro Industrial del Diseño y la Manufactura - Regional Santander</w:t>
            </w:r>
          </w:p>
        </w:tc>
      </w:tr>
      <w:tr w:rsidR="004F37EF" w:rsidRPr="001E5455" w14:paraId="2EB7698D" w14:textId="77777777" w:rsidTr="001E5455">
        <w:tc>
          <w:tcPr>
            <w:tcW w:w="2830" w:type="dxa"/>
          </w:tcPr>
          <w:p w14:paraId="476B4C9E" w14:textId="40251FCD" w:rsidR="004F37EF" w:rsidRPr="004F37EF" w:rsidRDefault="004F37EF" w:rsidP="004F37EF">
            <w:pPr>
              <w:pStyle w:val="TextoTablas"/>
              <w:rPr>
                <w:rFonts w:asciiTheme="minorHAnsi" w:hAnsiTheme="minorHAnsi" w:cstheme="minorHAnsi"/>
                <w:sz w:val="28"/>
                <w:szCs w:val="28"/>
              </w:rPr>
            </w:pPr>
            <w:r w:rsidRPr="004F37EF">
              <w:rPr>
                <w:sz w:val="28"/>
                <w:szCs w:val="28"/>
              </w:rPr>
              <w:t>Lina Marcela Ayala Pardo</w:t>
            </w:r>
          </w:p>
        </w:tc>
        <w:tc>
          <w:tcPr>
            <w:tcW w:w="3261" w:type="dxa"/>
          </w:tcPr>
          <w:p w14:paraId="7A67299A" w14:textId="6B41D77B" w:rsidR="004F37EF" w:rsidRPr="004F37EF" w:rsidRDefault="004F37EF" w:rsidP="004F37EF">
            <w:pPr>
              <w:pStyle w:val="TextoTablas"/>
              <w:rPr>
                <w:rFonts w:asciiTheme="minorHAnsi" w:hAnsiTheme="minorHAnsi" w:cstheme="minorHAnsi"/>
                <w:sz w:val="28"/>
                <w:szCs w:val="28"/>
              </w:rPr>
            </w:pPr>
            <w:r w:rsidRPr="004F37EF">
              <w:rPr>
                <w:sz w:val="28"/>
                <w:szCs w:val="28"/>
              </w:rPr>
              <w:t>Experta temática</w:t>
            </w:r>
          </w:p>
        </w:tc>
        <w:tc>
          <w:tcPr>
            <w:tcW w:w="3969" w:type="dxa"/>
          </w:tcPr>
          <w:p w14:paraId="62B401D6" w14:textId="57F48BFC" w:rsidR="004F37EF" w:rsidRPr="004F37EF" w:rsidRDefault="004F37EF" w:rsidP="004F37EF">
            <w:pPr>
              <w:pStyle w:val="TextoTablas"/>
              <w:rPr>
                <w:rFonts w:asciiTheme="minorHAnsi" w:hAnsiTheme="minorHAnsi" w:cstheme="minorHAnsi"/>
                <w:sz w:val="28"/>
                <w:szCs w:val="28"/>
              </w:rPr>
            </w:pPr>
            <w:r w:rsidRPr="004F37EF">
              <w:rPr>
                <w:sz w:val="28"/>
                <w:szCs w:val="28"/>
              </w:rPr>
              <w:t>Centro de Servicios de Salud - Regional Antioquia</w:t>
            </w:r>
          </w:p>
        </w:tc>
      </w:tr>
      <w:tr w:rsidR="004F37EF"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5BAB1797" w:rsidR="004F37EF" w:rsidRPr="004F37EF" w:rsidRDefault="004F37EF" w:rsidP="004F37EF">
            <w:pPr>
              <w:pStyle w:val="TextoTablas"/>
              <w:rPr>
                <w:rFonts w:asciiTheme="minorHAnsi" w:hAnsiTheme="minorHAnsi" w:cstheme="minorHAnsi"/>
                <w:sz w:val="28"/>
                <w:szCs w:val="28"/>
              </w:rPr>
            </w:pPr>
            <w:r w:rsidRPr="004F37EF">
              <w:rPr>
                <w:sz w:val="28"/>
                <w:szCs w:val="28"/>
              </w:rPr>
              <w:t>Ana Catalina Córdoba Sus</w:t>
            </w:r>
          </w:p>
        </w:tc>
        <w:tc>
          <w:tcPr>
            <w:tcW w:w="3261" w:type="dxa"/>
          </w:tcPr>
          <w:p w14:paraId="6D838AC0" w14:textId="4DB4DBEA" w:rsidR="004F37EF" w:rsidRPr="004F37EF" w:rsidRDefault="004F37EF" w:rsidP="004F37EF">
            <w:pPr>
              <w:pStyle w:val="TextoTablas"/>
              <w:rPr>
                <w:rFonts w:asciiTheme="minorHAnsi" w:hAnsiTheme="minorHAnsi" w:cstheme="minorHAnsi"/>
                <w:sz w:val="28"/>
                <w:szCs w:val="28"/>
              </w:rPr>
            </w:pPr>
            <w:r w:rsidRPr="004F37EF">
              <w:rPr>
                <w:sz w:val="28"/>
                <w:szCs w:val="28"/>
              </w:rPr>
              <w:t>Diseñadora Instruccional - Revisora Metodológica y Pedagógica</w:t>
            </w:r>
          </w:p>
        </w:tc>
        <w:tc>
          <w:tcPr>
            <w:tcW w:w="3969" w:type="dxa"/>
          </w:tcPr>
          <w:p w14:paraId="6A6EE7BA" w14:textId="2E65749A" w:rsidR="004F37EF" w:rsidRPr="004F37EF" w:rsidRDefault="004F37EF" w:rsidP="004F37EF">
            <w:pPr>
              <w:pStyle w:val="TextoTablas"/>
              <w:rPr>
                <w:rFonts w:asciiTheme="minorHAnsi" w:hAnsiTheme="minorHAnsi" w:cstheme="minorHAnsi"/>
                <w:sz w:val="28"/>
                <w:szCs w:val="28"/>
              </w:rPr>
            </w:pPr>
            <w:r w:rsidRPr="004F37EF">
              <w:rPr>
                <w:sz w:val="28"/>
                <w:szCs w:val="28"/>
              </w:rPr>
              <w:t>Centro para la Industria de la Comunicación Gráfica - Regional Distrito Capital</w:t>
            </w:r>
          </w:p>
        </w:tc>
      </w:tr>
      <w:tr w:rsidR="004F37EF" w:rsidRPr="001E5455" w14:paraId="1B05192E" w14:textId="77777777" w:rsidTr="001E5455">
        <w:tc>
          <w:tcPr>
            <w:tcW w:w="2830" w:type="dxa"/>
          </w:tcPr>
          <w:p w14:paraId="506091C7" w14:textId="05371490" w:rsidR="004F37EF" w:rsidRPr="004F37EF" w:rsidRDefault="004F37EF" w:rsidP="004F37EF">
            <w:pPr>
              <w:pStyle w:val="TextoTablas"/>
              <w:rPr>
                <w:rFonts w:asciiTheme="minorHAnsi" w:hAnsiTheme="minorHAnsi" w:cstheme="minorHAnsi"/>
                <w:sz w:val="28"/>
                <w:szCs w:val="28"/>
              </w:rPr>
            </w:pPr>
            <w:r w:rsidRPr="004F37EF">
              <w:rPr>
                <w:sz w:val="28"/>
                <w:szCs w:val="28"/>
              </w:rPr>
              <w:t>Jhon Jairo Rodríguez Pérez</w:t>
            </w:r>
          </w:p>
        </w:tc>
        <w:tc>
          <w:tcPr>
            <w:tcW w:w="3261" w:type="dxa"/>
          </w:tcPr>
          <w:p w14:paraId="23C572C2" w14:textId="2D1C78E8" w:rsidR="004F37EF" w:rsidRPr="004F37EF" w:rsidRDefault="004F37EF" w:rsidP="004F37EF">
            <w:pPr>
              <w:pStyle w:val="TextoTablas"/>
              <w:rPr>
                <w:rFonts w:asciiTheme="minorHAnsi" w:hAnsiTheme="minorHAnsi" w:cstheme="minorHAnsi"/>
                <w:sz w:val="28"/>
                <w:szCs w:val="28"/>
              </w:rPr>
            </w:pPr>
            <w:r w:rsidRPr="004F37EF">
              <w:rPr>
                <w:sz w:val="28"/>
                <w:szCs w:val="28"/>
              </w:rPr>
              <w:t>Diseñador y evaluador instruccional</w:t>
            </w:r>
          </w:p>
        </w:tc>
        <w:tc>
          <w:tcPr>
            <w:tcW w:w="3969" w:type="dxa"/>
          </w:tcPr>
          <w:p w14:paraId="68D052CB" w14:textId="385736A5" w:rsidR="004F37EF" w:rsidRPr="004F37EF" w:rsidRDefault="004F37EF" w:rsidP="004F37EF">
            <w:pPr>
              <w:pStyle w:val="TextoTablas"/>
              <w:rPr>
                <w:rFonts w:asciiTheme="minorHAnsi" w:hAnsiTheme="minorHAnsi" w:cstheme="minorHAnsi"/>
                <w:sz w:val="28"/>
                <w:szCs w:val="28"/>
              </w:rPr>
            </w:pPr>
            <w:r w:rsidRPr="004F37EF">
              <w:rPr>
                <w:sz w:val="28"/>
                <w:szCs w:val="28"/>
              </w:rPr>
              <w:t>Centro para la Industria de la Comunicación Gráfica - Regional Distrito Capital</w:t>
            </w:r>
          </w:p>
        </w:tc>
      </w:tr>
      <w:tr w:rsidR="004F37EF"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04D83408" w:rsidR="004F37EF" w:rsidRPr="004F37EF" w:rsidRDefault="004F37EF" w:rsidP="004F37EF">
            <w:pPr>
              <w:pStyle w:val="TextoTablas"/>
              <w:rPr>
                <w:rFonts w:asciiTheme="minorHAnsi" w:hAnsiTheme="minorHAnsi" w:cstheme="minorHAnsi"/>
                <w:sz w:val="28"/>
                <w:szCs w:val="28"/>
              </w:rPr>
            </w:pPr>
            <w:r w:rsidRPr="004F37EF">
              <w:rPr>
                <w:sz w:val="28"/>
                <w:szCs w:val="28"/>
              </w:rPr>
              <w:t>Gloria Amparo López Escudero</w:t>
            </w:r>
          </w:p>
        </w:tc>
        <w:tc>
          <w:tcPr>
            <w:tcW w:w="3261" w:type="dxa"/>
          </w:tcPr>
          <w:p w14:paraId="7B6E79A6" w14:textId="7550D372" w:rsidR="004F37EF" w:rsidRPr="004F37EF" w:rsidRDefault="004F37EF" w:rsidP="004F37EF">
            <w:pPr>
              <w:pStyle w:val="TextoTablas"/>
              <w:rPr>
                <w:rFonts w:asciiTheme="minorHAnsi" w:hAnsiTheme="minorHAnsi" w:cstheme="minorHAnsi"/>
                <w:sz w:val="28"/>
                <w:szCs w:val="28"/>
              </w:rPr>
            </w:pPr>
            <w:r w:rsidRPr="004F37EF">
              <w:rPr>
                <w:sz w:val="28"/>
                <w:szCs w:val="28"/>
              </w:rPr>
              <w:t>Adecuación instruccional</w:t>
            </w:r>
          </w:p>
        </w:tc>
        <w:tc>
          <w:tcPr>
            <w:tcW w:w="3969" w:type="dxa"/>
          </w:tcPr>
          <w:p w14:paraId="583DD37C" w14:textId="38CCB3A0"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4F37EF" w:rsidRPr="001E5455" w14:paraId="74FBE7C0" w14:textId="77777777" w:rsidTr="001E5455">
        <w:tc>
          <w:tcPr>
            <w:tcW w:w="2830" w:type="dxa"/>
          </w:tcPr>
          <w:p w14:paraId="7992FEE5" w14:textId="2013DAAB" w:rsidR="004F37EF" w:rsidRPr="004F37EF" w:rsidRDefault="004F37EF" w:rsidP="004F37EF">
            <w:pPr>
              <w:pStyle w:val="TextoTablas"/>
              <w:rPr>
                <w:rFonts w:asciiTheme="minorHAnsi" w:hAnsiTheme="minorHAnsi" w:cstheme="minorHAnsi"/>
                <w:sz w:val="28"/>
                <w:szCs w:val="28"/>
              </w:rPr>
            </w:pPr>
            <w:r w:rsidRPr="004F37EF">
              <w:rPr>
                <w:sz w:val="28"/>
                <w:szCs w:val="28"/>
              </w:rPr>
              <w:t>Andrés Felipe Velandia Espitia</w:t>
            </w:r>
          </w:p>
        </w:tc>
        <w:tc>
          <w:tcPr>
            <w:tcW w:w="3261" w:type="dxa"/>
          </w:tcPr>
          <w:p w14:paraId="174981AB" w14:textId="34B887EC" w:rsidR="004F37EF" w:rsidRPr="004F37EF" w:rsidRDefault="004F37EF" w:rsidP="004F37EF">
            <w:pPr>
              <w:pStyle w:val="TextoTablas"/>
              <w:rPr>
                <w:rFonts w:asciiTheme="minorHAnsi" w:hAnsiTheme="minorHAnsi" w:cstheme="minorHAnsi"/>
                <w:sz w:val="28"/>
                <w:szCs w:val="28"/>
              </w:rPr>
            </w:pPr>
            <w:r w:rsidRPr="004F37EF">
              <w:rPr>
                <w:sz w:val="28"/>
                <w:szCs w:val="28"/>
              </w:rPr>
              <w:t>Metodología para la formación virtual</w:t>
            </w:r>
          </w:p>
        </w:tc>
        <w:tc>
          <w:tcPr>
            <w:tcW w:w="3969" w:type="dxa"/>
          </w:tcPr>
          <w:p w14:paraId="7A0034F1" w14:textId="26432C3F"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4F37EF"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20EDF293" w:rsidR="004F37EF" w:rsidRPr="004F37EF" w:rsidRDefault="004F37EF" w:rsidP="004F37EF">
            <w:pPr>
              <w:pStyle w:val="TextoTablas"/>
              <w:rPr>
                <w:rFonts w:asciiTheme="minorHAnsi" w:hAnsiTheme="minorHAnsi" w:cstheme="minorHAnsi"/>
                <w:sz w:val="28"/>
                <w:szCs w:val="28"/>
              </w:rPr>
            </w:pPr>
            <w:r w:rsidRPr="004F37EF">
              <w:rPr>
                <w:sz w:val="28"/>
                <w:szCs w:val="28"/>
              </w:rPr>
              <w:lastRenderedPageBreak/>
              <w:t>Jesús Antonio Vecino Valero</w:t>
            </w:r>
          </w:p>
        </w:tc>
        <w:tc>
          <w:tcPr>
            <w:tcW w:w="3261" w:type="dxa"/>
          </w:tcPr>
          <w:p w14:paraId="578AE26C" w14:textId="637FB80F" w:rsidR="004F37EF" w:rsidRPr="004F37EF" w:rsidRDefault="004F37EF" w:rsidP="004F37EF">
            <w:pPr>
              <w:pStyle w:val="TextoTablas"/>
              <w:rPr>
                <w:rFonts w:asciiTheme="minorHAnsi" w:hAnsiTheme="minorHAnsi" w:cstheme="minorHAnsi"/>
                <w:sz w:val="28"/>
                <w:szCs w:val="28"/>
              </w:rPr>
            </w:pPr>
            <w:r w:rsidRPr="004F37EF">
              <w:rPr>
                <w:sz w:val="28"/>
                <w:szCs w:val="28"/>
              </w:rPr>
              <w:t>Diseño web</w:t>
            </w:r>
          </w:p>
        </w:tc>
        <w:tc>
          <w:tcPr>
            <w:tcW w:w="3969" w:type="dxa"/>
          </w:tcPr>
          <w:p w14:paraId="061D35F6" w14:textId="35C4FC4E"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4F37EF" w:rsidRPr="001E5455" w14:paraId="5AAB3E04" w14:textId="77777777" w:rsidTr="001E5455">
        <w:tc>
          <w:tcPr>
            <w:tcW w:w="2830" w:type="dxa"/>
          </w:tcPr>
          <w:p w14:paraId="3D175A3D" w14:textId="6110028B" w:rsidR="004F37EF" w:rsidRPr="004F37EF" w:rsidRDefault="004F37EF" w:rsidP="004F37EF">
            <w:pPr>
              <w:pStyle w:val="TextoTablas"/>
              <w:rPr>
                <w:rFonts w:asciiTheme="minorHAnsi" w:hAnsiTheme="minorHAnsi" w:cstheme="minorHAnsi"/>
                <w:sz w:val="28"/>
                <w:szCs w:val="28"/>
              </w:rPr>
            </w:pPr>
            <w:r w:rsidRPr="004F37EF">
              <w:rPr>
                <w:sz w:val="28"/>
                <w:szCs w:val="28"/>
              </w:rPr>
              <w:t>Jhon Jairo Urueta Alvarez</w:t>
            </w:r>
          </w:p>
        </w:tc>
        <w:tc>
          <w:tcPr>
            <w:tcW w:w="3261" w:type="dxa"/>
          </w:tcPr>
          <w:p w14:paraId="43EDB612" w14:textId="3E3E6FE7" w:rsidR="004F37EF" w:rsidRPr="004F37EF" w:rsidRDefault="004F37EF" w:rsidP="004F37EF">
            <w:pPr>
              <w:pStyle w:val="TextoTablas"/>
              <w:rPr>
                <w:rFonts w:asciiTheme="minorHAnsi" w:hAnsiTheme="minorHAnsi" w:cstheme="minorHAnsi"/>
                <w:sz w:val="28"/>
                <w:szCs w:val="28"/>
              </w:rPr>
            </w:pPr>
            <w:r w:rsidRPr="004F37EF">
              <w:rPr>
                <w:sz w:val="28"/>
                <w:szCs w:val="28"/>
              </w:rPr>
              <w:t>Desarrollador fullstack</w:t>
            </w:r>
          </w:p>
        </w:tc>
        <w:tc>
          <w:tcPr>
            <w:tcW w:w="3969" w:type="dxa"/>
          </w:tcPr>
          <w:p w14:paraId="116E9733" w14:textId="7C57CFD9"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4F37EF"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4FCDBD5B" w:rsidR="004F37EF" w:rsidRPr="004F37EF" w:rsidRDefault="004F37EF" w:rsidP="004F37EF">
            <w:pPr>
              <w:pStyle w:val="TextoTablas"/>
              <w:rPr>
                <w:rFonts w:asciiTheme="minorHAnsi" w:hAnsiTheme="minorHAnsi" w:cstheme="minorHAnsi"/>
                <w:sz w:val="28"/>
                <w:szCs w:val="28"/>
              </w:rPr>
            </w:pPr>
            <w:r w:rsidRPr="004F37EF">
              <w:rPr>
                <w:sz w:val="28"/>
                <w:szCs w:val="28"/>
              </w:rPr>
              <w:t>Lady Adriana Ariza Luque</w:t>
            </w:r>
          </w:p>
        </w:tc>
        <w:tc>
          <w:tcPr>
            <w:tcW w:w="3261" w:type="dxa"/>
          </w:tcPr>
          <w:p w14:paraId="50152396" w14:textId="22E619E9" w:rsidR="004F37EF" w:rsidRPr="004F37EF" w:rsidRDefault="004F37EF" w:rsidP="004F37EF">
            <w:pPr>
              <w:pStyle w:val="TextoTablas"/>
              <w:rPr>
                <w:rFonts w:asciiTheme="minorHAnsi" w:hAnsiTheme="minorHAnsi" w:cstheme="minorHAnsi"/>
                <w:sz w:val="28"/>
                <w:szCs w:val="28"/>
              </w:rPr>
            </w:pPr>
            <w:r w:rsidRPr="004F37EF">
              <w:rPr>
                <w:sz w:val="28"/>
                <w:szCs w:val="28"/>
              </w:rPr>
              <w:t>Animación y producción audiovisual</w:t>
            </w:r>
          </w:p>
        </w:tc>
        <w:tc>
          <w:tcPr>
            <w:tcW w:w="3969" w:type="dxa"/>
          </w:tcPr>
          <w:p w14:paraId="5603106D" w14:textId="707CCEEB"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4F37EF" w:rsidRPr="001E5455" w14:paraId="3E6FA456" w14:textId="77777777" w:rsidTr="001E5455">
        <w:tc>
          <w:tcPr>
            <w:tcW w:w="2830" w:type="dxa"/>
          </w:tcPr>
          <w:p w14:paraId="05B5542E" w14:textId="7F1AEDF3" w:rsidR="004F37EF" w:rsidRPr="004F37EF" w:rsidRDefault="004F37EF" w:rsidP="004F37EF">
            <w:pPr>
              <w:pStyle w:val="TextoTablas"/>
              <w:rPr>
                <w:rFonts w:asciiTheme="minorHAnsi" w:hAnsiTheme="minorHAnsi" w:cstheme="minorHAnsi"/>
                <w:sz w:val="28"/>
                <w:szCs w:val="28"/>
              </w:rPr>
            </w:pPr>
            <w:r w:rsidRPr="004F37EF">
              <w:rPr>
                <w:sz w:val="28"/>
                <w:szCs w:val="28"/>
              </w:rPr>
              <w:t>Laura Gisselle Murcia Pardo</w:t>
            </w:r>
          </w:p>
        </w:tc>
        <w:tc>
          <w:tcPr>
            <w:tcW w:w="3261" w:type="dxa"/>
          </w:tcPr>
          <w:p w14:paraId="186B2A0D" w14:textId="472788B9" w:rsidR="004F37EF" w:rsidRPr="004F37EF" w:rsidRDefault="004F37EF" w:rsidP="004F37EF">
            <w:pPr>
              <w:pStyle w:val="TextoTablas"/>
              <w:rPr>
                <w:rFonts w:asciiTheme="minorHAnsi" w:hAnsiTheme="minorHAnsi" w:cstheme="minorHAnsi"/>
                <w:sz w:val="28"/>
                <w:szCs w:val="28"/>
              </w:rPr>
            </w:pPr>
            <w:r w:rsidRPr="004F37EF">
              <w:rPr>
                <w:sz w:val="28"/>
                <w:szCs w:val="28"/>
              </w:rPr>
              <w:t>Animación y producción audiovisual</w:t>
            </w:r>
          </w:p>
        </w:tc>
        <w:tc>
          <w:tcPr>
            <w:tcW w:w="3969" w:type="dxa"/>
          </w:tcPr>
          <w:p w14:paraId="6238F72F" w14:textId="52B50E60"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4F37EF" w:rsidRPr="001E5455" w14:paraId="6C1EA58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C003E0C" w14:textId="06F56BAB" w:rsidR="004F37EF" w:rsidRPr="004F37EF" w:rsidRDefault="004F37EF" w:rsidP="004F37EF">
            <w:pPr>
              <w:pStyle w:val="TextoTablas"/>
              <w:rPr>
                <w:rFonts w:asciiTheme="minorHAnsi" w:hAnsiTheme="minorHAnsi" w:cstheme="minorHAnsi"/>
                <w:sz w:val="28"/>
                <w:szCs w:val="28"/>
              </w:rPr>
            </w:pPr>
            <w:r w:rsidRPr="004F37EF">
              <w:rPr>
                <w:sz w:val="28"/>
                <w:szCs w:val="28"/>
              </w:rPr>
              <w:t>Ernesto Navarro Jaimes</w:t>
            </w:r>
          </w:p>
        </w:tc>
        <w:tc>
          <w:tcPr>
            <w:tcW w:w="3261" w:type="dxa"/>
          </w:tcPr>
          <w:p w14:paraId="10594527" w14:textId="10303D17" w:rsidR="004F37EF" w:rsidRPr="004F37EF" w:rsidRDefault="004F37EF" w:rsidP="004F37EF">
            <w:pPr>
              <w:pStyle w:val="TextoTablas"/>
              <w:rPr>
                <w:rFonts w:asciiTheme="minorHAnsi" w:hAnsiTheme="minorHAnsi" w:cstheme="minorHAnsi"/>
                <w:sz w:val="28"/>
                <w:szCs w:val="28"/>
              </w:rPr>
            </w:pPr>
            <w:r w:rsidRPr="004F37EF">
              <w:rPr>
                <w:sz w:val="28"/>
                <w:szCs w:val="28"/>
              </w:rPr>
              <w:t>Animación y producción audiovisual</w:t>
            </w:r>
          </w:p>
        </w:tc>
        <w:tc>
          <w:tcPr>
            <w:tcW w:w="3969" w:type="dxa"/>
          </w:tcPr>
          <w:p w14:paraId="4BBEA722" w14:textId="25A45726" w:rsidR="004F37EF" w:rsidRPr="004F37EF" w:rsidRDefault="004F37EF" w:rsidP="004F37EF">
            <w:pPr>
              <w:pStyle w:val="TextoTablas"/>
              <w:rPr>
                <w:rFonts w:asciiTheme="minorHAnsi" w:hAnsiTheme="minorHAnsi" w:cstheme="minorHAnsi"/>
                <w:sz w:val="28"/>
                <w:szCs w:val="28"/>
              </w:rPr>
            </w:pPr>
            <w:r w:rsidRPr="004F37EF">
              <w:rPr>
                <w:sz w:val="28"/>
                <w:szCs w:val="28"/>
              </w:rPr>
              <w:t>Centro de Gestión de Mercados, Logística y Tecnologías de la Información - Regional Distrito Capital</w:t>
            </w:r>
          </w:p>
        </w:tc>
      </w:tr>
      <w:tr w:rsidR="001E5455" w:rsidRPr="001E5455" w14:paraId="0F9F71FB" w14:textId="77777777" w:rsidTr="001E5455">
        <w:tc>
          <w:tcPr>
            <w:tcW w:w="2830" w:type="dxa"/>
          </w:tcPr>
          <w:p w14:paraId="1ECAAECB" w14:textId="5C22C6F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Carolina Coca Salazar</w:t>
            </w:r>
          </w:p>
        </w:tc>
        <w:tc>
          <w:tcPr>
            <w:tcW w:w="3261" w:type="dxa"/>
          </w:tcPr>
          <w:p w14:paraId="60A0640E" w14:textId="3D38C60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Evaluación de contenidos inclusivos y accesibles</w:t>
            </w:r>
          </w:p>
        </w:tc>
        <w:tc>
          <w:tcPr>
            <w:tcW w:w="3969" w:type="dxa"/>
          </w:tcPr>
          <w:p w14:paraId="042B63C7" w14:textId="4612E16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16D5C72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662944" w14:textId="5D5CF4F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Lina Marcela Pérez Manchego</w:t>
            </w:r>
          </w:p>
        </w:tc>
        <w:tc>
          <w:tcPr>
            <w:tcW w:w="3261" w:type="dxa"/>
          </w:tcPr>
          <w:p w14:paraId="7B49EABE" w14:textId="522F9B4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5DBF8171" w14:textId="0765A973"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35D5F256" w14:textId="77777777" w:rsidTr="001E5455">
        <w:tc>
          <w:tcPr>
            <w:tcW w:w="2830" w:type="dxa"/>
          </w:tcPr>
          <w:p w14:paraId="38B049ED" w14:textId="62225766"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lastRenderedPageBreak/>
              <w:t>Leyson Fabian Castaño Pérez</w:t>
            </w:r>
          </w:p>
        </w:tc>
        <w:tc>
          <w:tcPr>
            <w:tcW w:w="3261" w:type="dxa"/>
          </w:tcPr>
          <w:p w14:paraId="5E10D5E6" w14:textId="5A7FCDDA"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46EAB95D" w14:textId="7409105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67F2" w14:textId="77777777" w:rsidR="00771A69" w:rsidRDefault="00771A69" w:rsidP="00EC0858">
      <w:pPr>
        <w:spacing w:before="0" w:after="0" w:line="240" w:lineRule="auto"/>
      </w:pPr>
      <w:r>
        <w:separator/>
      </w:r>
    </w:p>
  </w:endnote>
  <w:endnote w:type="continuationSeparator" w:id="0">
    <w:p w14:paraId="29886D3B" w14:textId="77777777" w:rsidR="00771A69" w:rsidRDefault="00771A6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7FD07" w14:textId="77777777" w:rsidR="00771A69" w:rsidRDefault="00771A69" w:rsidP="00EC0858">
      <w:pPr>
        <w:spacing w:before="0" w:after="0" w:line="240" w:lineRule="auto"/>
      </w:pPr>
      <w:r>
        <w:separator/>
      </w:r>
    </w:p>
  </w:footnote>
  <w:footnote w:type="continuationSeparator" w:id="0">
    <w:p w14:paraId="3958403B" w14:textId="77777777" w:rsidR="00771A69" w:rsidRDefault="00771A6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22BB0"/>
    <w:multiLevelType w:val="hybridMultilevel"/>
    <w:tmpl w:val="857EB0CC"/>
    <w:lvl w:ilvl="0" w:tplc="CBA877A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1F839E7"/>
    <w:multiLevelType w:val="hybridMultilevel"/>
    <w:tmpl w:val="33467F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312E92"/>
    <w:multiLevelType w:val="hybridMultilevel"/>
    <w:tmpl w:val="C28608A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40F7238"/>
    <w:multiLevelType w:val="hybridMultilevel"/>
    <w:tmpl w:val="60A616A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4B70EAD"/>
    <w:multiLevelType w:val="hybridMultilevel"/>
    <w:tmpl w:val="4940923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6534196"/>
    <w:multiLevelType w:val="hybridMultilevel"/>
    <w:tmpl w:val="CA40A0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6B322E0"/>
    <w:multiLevelType w:val="hybridMultilevel"/>
    <w:tmpl w:val="37EE1F7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9BB70E2"/>
    <w:multiLevelType w:val="hybridMultilevel"/>
    <w:tmpl w:val="A20E8C4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0B126F88"/>
    <w:multiLevelType w:val="hybridMultilevel"/>
    <w:tmpl w:val="03EA6C8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8471BC6"/>
    <w:multiLevelType w:val="hybridMultilevel"/>
    <w:tmpl w:val="7B6E9BC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85768D9"/>
    <w:multiLevelType w:val="hybridMultilevel"/>
    <w:tmpl w:val="30D81F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DC70576"/>
    <w:multiLevelType w:val="hybridMultilevel"/>
    <w:tmpl w:val="84BA555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92E0639"/>
    <w:multiLevelType w:val="hybridMultilevel"/>
    <w:tmpl w:val="EBF4A7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D962149"/>
    <w:multiLevelType w:val="hybridMultilevel"/>
    <w:tmpl w:val="623026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EEC3E08"/>
    <w:multiLevelType w:val="hybridMultilevel"/>
    <w:tmpl w:val="0F3CF39E"/>
    <w:lvl w:ilvl="0" w:tplc="EF88EAC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A745BE"/>
    <w:multiLevelType w:val="hybridMultilevel"/>
    <w:tmpl w:val="7EE6E292"/>
    <w:lvl w:ilvl="0" w:tplc="F2A8C5A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9" w15:restartNumberingAfterBreak="0">
    <w:nsid w:val="37BF4964"/>
    <w:multiLevelType w:val="hybridMultilevel"/>
    <w:tmpl w:val="3B8E410A"/>
    <w:lvl w:ilvl="0" w:tplc="FAA4F6CA">
      <w:start w:val="1"/>
      <w:numFmt w:val="decimalZero"/>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396635BA"/>
    <w:multiLevelType w:val="hybridMultilevel"/>
    <w:tmpl w:val="64EE910E"/>
    <w:lvl w:ilvl="0" w:tplc="6F8845D4">
      <w:start w:val="1"/>
      <w:numFmt w:val="decimalZero"/>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416345BE"/>
    <w:multiLevelType w:val="hybridMultilevel"/>
    <w:tmpl w:val="A8BC9F0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1F50724"/>
    <w:multiLevelType w:val="hybridMultilevel"/>
    <w:tmpl w:val="8CB695F4"/>
    <w:lvl w:ilvl="0" w:tplc="710A00A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429F0070"/>
    <w:multiLevelType w:val="hybridMultilevel"/>
    <w:tmpl w:val="23060312"/>
    <w:lvl w:ilvl="0" w:tplc="5C383A4E">
      <w:start w:val="1"/>
      <w:numFmt w:val="decimalZero"/>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44216881"/>
    <w:multiLevelType w:val="hybridMultilevel"/>
    <w:tmpl w:val="0F52180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53B3588"/>
    <w:multiLevelType w:val="hybridMultilevel"/>
    <w:tmpl w:val="B27604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6696F85"/>
    <w:multiLevelType w:val="hybridMultilevel"/>
    <w:tmpl w:val="FCBEB1E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7A84332"/>
    <w:multiLevelType w:val="hybridMultilevel"/>
    <w:tmpl w:val="1EC0F52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9423EA2"/>
    <w:multiLevelType w:val="hybridMultilevel"/>
    <w:tmpl w:val="D812A954"/>
    <w:lvl w:ilvl="0" w:tplc="5192BE8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0104A7A"/>
    <w:multiLevelType w:val="hybridMultilevel"/>
    <w:tmpl w:val="EF12413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51197946"/>
    <w:multiLevelType w:val="hybridMultilevel"/>
    <w:tmpl w:val="86CE145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5D91DC6"/>
    <w:multiLevelType w:val="hybridMultilevel"/>
    <w:tmpl w:val="BF0A9B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5E926A6"/>
    <w:multiLevelType w:val="hybridMultilevel"/>
    <w:tmpl w:val="CE74D98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9111CE3"/>
    <w:multiLevelType w:val="hybridMultilevel"/>
    <w:tmpl w:val="D48EF92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A6C3AB8"/>
    <w:multiLevelType w:val="hybridMultilevel"/>
    <w:tmpl w:val="C28E335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41411C2"/>
    <w:multiLevelType w:val="hybridMultilevel"/>
    <w:tmpl w:val="DC2E72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5967173"/>
    <w:multiLevelType w:val="hybridMultilevel"/>
    <w:tmpl w:val="531E208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68B81CAB"/>
    <w:multiLevelType w:val="hybridMultilevel"/>
    <w:tmpl w:val="F258C8C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A67419C"/>
    <w:multiLevelType w:val="hybridMultilevel"/>
    <w:tmpl w:val="92BA786C"/>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0" w15:restartNumberingAfterBreak="0">
    <w:nsid w:val="6C623B61"/>
    <w:multiLevelType w:val="hybridMultilevel"/>
    <w:tmpl w:val="6F1634C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6C861F41"/>
    <w:multiLevelType w:val="hybridMultilevel"/>
    <w:tmpl w:val="67ACB5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E213E76"/>
    <w:multiLevelType w:val="hybridMultilevel"/>
    <w:tmpl w:val="CDF0E84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0512B94"/>
    <w:multiLevelType w:val="hybridMultilevel"/>
    <w:tmpl w:val="053073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1FE0013"/>
    <w:multiLevelType w:val="hybridMultilevel"/>
    <w:tmpl w:val="EF2896F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56E5702"/>
    <w:multiLevelType w:val="hybridMultilevel"/>
    <w:tmpl w:val="722C61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781F1615"/>
    <w:multiLevelType w:val="hybridMultilevel"/>
    <w:tmpl w:val="CF7C52A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9353658"/>
    <w:multiLevelType w:val="hybridMultilevel"/>
    <w:tmpl w:val="294E01F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7A8F25B6"/>
    <w:multiLevelType w:val="hybridMultilevel"/>
    <w:tmpl w:val="CC1CCDB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EA676CB"/>
    <w:multiLevelType w:val="hybridMultilevel"/>
    <w:tmpl w:val="4FD042F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49"/>
  </w:num>
  <w:num w:numId="2" w16cid:durableId="1639607128">
    <w:abstractNumId w:val="0"/>
  </w:num>
  <w:num w:numId="3" w16cid:durableId="1380596432">
    <w:abstractNumId w:val="13"/>
  </w:num>
  <w:num w:numId="4" w16cid:durableId="787361376">
    <w:abstractNumId w:val="29"/>
  </w:num>
  <w:num w:numId="5" w16cid:durableId="672538809">
    <w:abstractNumId w:val="17"/>
  </w:num>
  <w:num w:numId="6" w16cid:durableId="1208180271">
    <w:abstractNumId w:val="3"/>
  </w:num>
  <w:num w:numId="7" w16cid:durableId="1180006543">
    <w:abstractNumId w:val="38"/>
  </w:num>
  <w:num w:numId="8" w16cid:durableId="125859818">
    <w:abstractNumId w:val="10"/>
  </w:num>
  <w:num w:numId="9" w16cid:durableId="537014441">
    <w:abstractNumId w:val="5"/>
  </w:num>
  <w:num w:numId="10" w16cid:durableId="125512284">
    <w:abstractNumId w:val="34"/>
  </w:num>
  <w:num w:numId="11" w16cid:durableId="792986085">
    <w:abstractNumId w:val="30"/>
  </w:num>
  <w:num w:numId="12" w16cid:durableId="1390685031">
    <w:abstractNumId w:val="32"/>
  </w:num>
  <w:num w:numId="13" w16cid:durableId="1563325279">
    <w:abstractNumId w:val="31"/>
  </w:num>
  <w:num w:numId="14" w16cid:durableId="2136871682">
    <w:abstractNumId w:val="42"/>
  </w:num>
  <w:num w:numId="15" w16cid:durableId="1223636544">
    <w:abstractNumId w:val="2"/>
  </w:num>
  <w:num w:numId="16" w16cid:durableId="1920092998">
    <w:abstractNumId w:val="7"/>
  </w:num>
  <w:num w:numId="17" w16cid:durableId="308248405">
    <w:abstractNumId w:val="20"/>
  </w:num>
  <w:num w:numId="18" w16cid:durableId="732895380">
    <w:abstractNumId w:val="12"/>
  </w:num>
  <w:num w:numId="19" w16cid:durableId="461071541">
    <w:abstractNumId w:val="27"/>
  </w:num>
  <w:num w:numId="20" w16cid:durableId="2106873746">
    <w:abstractNumId w:val="33"/>
  </w:num>
  <w:num w:numId="21" w16cid:durableId="530337486">
    <w:abstractNumId w:val="44"/>
  </w:num>
  <w:num w:numId="22" w16cid:durableId="1335524046">
    <w:abstractNumId w:val="8"/>
  </w:num>
  <w:num w:numId="23" w16cid:durableId="1776289412">
    <w:abstractNumId w:val="23"/>
  </w:num>
  <w:num w:numId="24" w16cid:durableId="723217110">
    <w:abstractNumId w:val="1"/>
  </w:num>
  <w:num w:numId="25" w16cid:durableId="351995321">
    <w:abstractNumId w:val="28"/>
  </w:num>
  <w:num w:numId="26" w16cid:durableId="389350647">
    <w:abstractNumId w:val="22"/>
  </w:num>
  <w:num w:numId="27" w16cid:durableId="2133285810">
    <w:abstractNumId w:val="48"/>
  </w:num>
  <w:num w:numId="28" w16cid:durableId="1374769066">
    <w:abstractNumId w:val="19"/>
  </w:num>
  <w:num w:numId="29" w16cid:durableId="1880586933">
    <w:abstractNumId w:val="21"/>
  </w:num>
  <w:num w:numId="30" w16cid:durableId="1322810666">
    <w:abstractNumId w:val="45"/>
  </w:num>
  <w:num w:numId="31" w16cid:durableId="1444766860">
    <w:abstractNumId w:val="9"/>
  </w:num>
  <w:num w:numId="32" w16cid:durableId="584532536">
    <w:abstractNumId w:val="15"/>
  </w:num>
  <w:num w:numId="33" w16cid:durableId="1892157585">
    <w:abstractNumId w:val="25"/>
  </w:num>
  <w:num w:numId="34" w16cid:durableId="322785835">
    <w:abstractNumId w:val="6"/>
  </w:num>
  <w:num w:numId="35" w16cid:durableId="1183470564">
    <w:abstractNumId w:val="11"/>
  </w:num>
  <w:num w:numId="36" w16cid:durableId="730032845">
    <w:abstractNumId w:val="4"/>
  </w:num>
  <w:num w:numId="37" w16cid:durableId="733160823">
    <w:abstractNumId w:val="41"/>
  </w:num>
  <w:num w:numId="38" w16cid:durableId="1043364091">
    <w:abstractNumId w:val="46"/>
  </w:num>
  <w:num w:numId="39" w16cid:durableId="868688748">
    <w:abstractNumId w:val="14"/>
  </w:num>
  <w:num w:numId="40" w16cid:durableId="300228619">
    <w:abstractNumId w:val="43"/>
  </w:num>
  <w:num w:numId="41" w16cid:durableId="2118600626">
    <w:abstractNumId w:val="26"/>
  </w:num>
  <w:num w:numId="42" w16cid:durableId="1639072925">
    <w:abstractNumId w:val="18"/>
  </w:num>
  <w:num w:numId="43" w16cid:durableId="1849641041">
    <w:abstractNumId w:val="50"/>
  </w:num>
  <w:num w:numId="44" w16cid:durableId="1330866689">
    <w:abstractNumId w:val="16"/>
  </w:num>
  <w:num w:numId="45" w16cid:durableId="1662191921">
    <w:abstractNumId w:val="35"/>
  </w:num>
  <w:num w:numId="46" w16cid:durableId="1617520171">
    <w:abstractNumId w:val="24"/>
  </w:num>
  <w:num w:numId="47" w16cid:durableId="671301909">
    <w:abstractNumId w:val="47"/>
  </w:num>
  <w:num w:numId="48" w16cid:durableId="1383483442">
    <w:abstractNumId w:val="36"/>
  </w:num>
  <w:num w:numId="49" w16cid:durableId="1237129593">
    <w:abstractNumId w:val="40"/>
  </w:num>
  <w:num w:numId="50" w16cid:durableId="204561006">
    <w:abstractNumId w:val="39"/>
  </w:num>
  <w:num w:numId="51" w16cid:durableId="1712072662">
    <w:abstractNumId w:val="3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3F4A"/>
    <w:rsid w:val="000C5A51"/>
    <w:rsid w:val="000D5447"/>
    <w:rsid w:val="000F51A5"/>
    <w:rsid w:val="001218DF"/>
    <w:rsid w:val="00123EA6"/>
    <w:rsid w:val="00127C17"/>
    <w:rsid w:val="00147474"/>
    <w:rsid w:val="00157993"/>
    <w:rsid w:val="00160D56"/>
    <w:rsid w:val="00173151"/>
    <w:rsid w:val="0017719B"/>
    <w:rsid w:val="00182157"/>
    <w:rsid w:val="001A6D42"/>
    <w:rsid w:val="001B21CD"/>
    <w:rsid w:val="001B3C10"/>
    <w:rsid w:val="001B57A6"/>
    <w:rsid w:val="001C20F9"/>
    <w:rsid w:val="001E5455"/>
    <w:rsid w:val="001F1484"/>
    <w:rsid w:val="00200515"/>
    <w:rsid w:val="00203367"/>
    <w:rsid w:val="00221AEC"/>
    <w:rsid w:val="0022249E"/>
    <w:rsid w:val="002227A0"/>
    <w:rsid w:val="00226EDD"/>
    <w:rsid w:val="00227EBC"/>
    <w:rsid w:val="002401C2"/>
    <w:rsid w:val="0024118D"/>
    <w:rsid w:val="002450B6"/>
    <w:rsid w:val="00264DD7"/>
    <w:rsid w:val="002726D1"/>
    <w:rsid w:val="00284FD1"/>
    <w:rsid w:val="00291787"/>
    <w:rsid w:val="00296B7D"/>
    <w:rsid w:val="002A2AE1"/>
    <w:rsid w:val="002A4ACB"/>
    <w:rsid w:val="002B376F"/>
    <w:rsid w:val="002B4853"/>
    <w:rsid w:val="002C68AA"/>
    <w:rsid w:val="002D0E97"/>
    <w:rsid w:val="002E5B3A"/>
    <w:rsid w:val="0031307C"/>
    <w:rsid w:val="003137E4"/>
    <w:rsid w:val="003219FD"/>
    <w:rsid w:val="003275C6"/>
    <w:rsid w:val="00353681"/>
    <w:rsid w:val="0038106D"/>
    <w:rsid w:val="0038306E"/>
    <w:rsid w:val="003842F1"/>
    <w:rsid w:val="0038746C"/>
    <w:rsid w:val="003A0FFD"/>
    <w:rsid w:val="003A5B81"/>
    <w:rsid w:val="003B15D0"/>
    <w:rsid w:val="003C4559"/>
    <w:rsid w:val="003D1FAE"/>
    <w:rsid w:val="003E7363"/>
    <w:rsid w:val="00402C5B"/>
    <w:rsid w:val="00405523"/>
    <w:rsid w:val="00405967"/>
    <w:rsid w:val="004139C8"/>
    <w:rsid w:val="004251FD"/>
    <w:rsid w:val="00425E49"/>
    <w:rsid w:val="004300AD"/>
    <w:rsid w:val="004376E8"/>
    <w:rsid w:val="004554CA"/>
    <w:rsid w:val="004628BC"/>
    <w:rsid w:val="00495F48"/>
    <w:rsid w:val="004B15E9"/>
    <w:rsid w:val="004C2653"/>
    <w:rsid w:val="004E6977"/>
    <w:rsid w:val="004F0542"/>
    <w:rsid w:val="004F37EF"/>
    <w:rsid w:val="0050490D"/>
    <w:rsid w:val="0050650A"/>
    <w:rsid w:val="005103B5"/>
    <w:rsid w:val="00512394"/>
    <w:rsid w:val="0052729E"/>
    <w:rsid w:val="00540F7F"/>
    <w:rsid w:val="005468A8"/>
    <w:rsid w:val="00565A95"/>
    <w:rsid w:val="00572AB2"/>
    <w:rsid w:val="0058441F"/>
    <w:rsid w:val="00590D20"/>
    <w:rsid w:val="005B1C23"/>
    <w:rsid w:val="005B4EBD"/>
    <w:rsid w:val="00603AB0"/>
    <w:rsid w:val="00603D1F"/>
    <w:rsid w:val="006074C9"/>
    <w:rsid w:val="0063471F"/>
    <w:rsid w:val="0063601C"/>
    <w:rsid w:val="00653546"/>
    <w:rsid w:val="00666FCC"/>
    <w:rsid w:val="00680229"/>
    <w:rsid w:val="00692371"/>
    <w:rsid w:val="00695FE9"/>
    <w:rsid w:val="0069718E"/>
    <w:rsid w:val="006B14D2"/>
    <w:rsid w:val="006B55C4"/>
    <w:rsid w:val="006C4664"/>
    <w:rsid w:val="006D3F8E"/>
    <w:rsid w:val="006D5341"/>
    <w:rsid w:val="006E6D23"/>
    <w:rsid w:val="006E774E"/>
    <w:rsid w:val="006F6971"/>
    <w:rsid w:val="0070112D"/>
    <w:rsid w:val="0071002D"/>
    <w:rsid w:val="0071528F"/>
    <w:rsid w:val="00723503"/>
    <w:rsid w:val="00746AD1"/>
    <w:rsid w:val="00771A69"/>
    <w:rsid w:val="007844E6"/>
    <w:rsid w:val="00793626"/>
    <w:rsid w:val="007B2854"/>
    <w:rsid w:val="007B5EF2"/>
    <w:rsid w:val="007B700E"/>
    <w:rsid w:val="007C2DD9"/>
    <w:rsid w:val="007F2B44"/>
    <w:rsid w:val="007F7B75"/>
    <w:rsid w:val="00803A00"/>
    <w:rsid w:val="00804D03"/>
    <w:rsid w:val="00815320"/>
    <w:rsid w:val="008326A1"/>
    <w:rsid w:val="008353DB"/>
    <w:rsid w:val="00881A9D"/>
    <w:rsid w:val="0089468F"/>
    <w:rsid w:val="008A211B"/>
    <w:rsid w:val="008C1369"/>
    <w:rsid w:val="008C258A"/>
    <w:rsid w:val="008C3103"/>
    <w:rsid w:val="008C3DDB"/>
    <w:rsid w:val="008C7CC5"/>
    <w:rsid w:val="008D74D1"/>
    <w:rsid w:val="008E1302"/>
    <w:rsid w:val="008E4F74"/>
    <w:rsid w:val="008F4C05"/>
    <w:rsid w:val="00902033"/>
    <w:rsid w:val="00913AA2"/>
    <w:rsid w:val="00913EEF"/>
    <w:rsid w:val="0091450F"/>
    <w:rsid w:val="00923276"/>
    <w:rsid w:val="009366E8"/>
    <w:rsid w:val="00944961"/>
    <w:rsid w:val="00946D6E"/>
    <w:rsid w:val="00946EBE"/>
    <w:rsid w:val="00950BFF"/>
    <w:rsid w:val="00951C59"/>
    <w:rsid w:val="00964B0A"/>
    <w:rsid w:val="009714D3"/>
    <w:rsid w:val="0098428C"/>
    <w:rsid w:val="0098786B"/>
    <w:rsid w:val="00990035"/>
    <w:rsid w:val="009A4984"/>
    <w:rsid w:val="009B09A6"/>
    <w:rsid w:val="009B57D3"/>
    <w:rsid w:val="00A00B19"/>
    <w:rsid w:val="00A224E3"/>
    <w:rsid w:val="00A26D9A"/>
    <w:rsid w:val="00A2799A"/>
    <w:rsid w:val="00A451B6"/>
    <w:rsid w:val="00A56573"/>
    <w:rsid w:val="00A667F5"/>
    <w:rsid w:val="00A67D01"/>
    <w:rsid w:val="00A72866"/>
    <w:rsid w:val="00A92D13"/>
    <w:rsid w:val="00AB4F89"/>
    <w:rsid w:val="00AC33AD"/>
    <w:rsid w:val="00AF3441"/>
    <w:rsid w:val="00B00EFB"/>
    <w:rsid w:val="00B155B6"/>
    <w:rsid w:val="00B41B36"/>
    <w:rsid w:val="00B62EA3"/>
    <w:rsid w:val="00B63204"/>
    <w:rsid w:val="00B81360"/>
    <w:rsid w:val="00B8508E"/>
    <w:rsid w:val="00B8759F"/>
    <w:rsid w:val="00B920FE"/>
    <w:rsid w:val="00B94CE1"/>
    <w:rsid w:val="00B9538F"/>
    <w:rsid w:val="00B9733A"/>
    <w:rsid w:val="00BB016D"/>
    <w:rsid w:val="00BB207C"/>
    <w:rsid w:val="00BB336E"/>
    <w:rsid w:val="00BC20BA"/>
    <w:rsid w:val="00BF2E8A"/>
    <w:rsid w:val="00C05612"/>
    <w:rsid w:val="00C407C1"/>
    <w:rsid w:val="00C432EF"/>
    <w:rsid w:val="00C467A9"/>
    <w:rsid w:val="00C47BE9"/>
    <w:rsid w:val="00C5146D"/>
    <w:rsid w:val="00C544D7"/>
    <w:rsid w:val="00C57B14"/>
    <w:rsid w:val="00C64C40"/>
    <w:rsid w:val="00C7377B"/>
    <w:rsid w:val="00C82BDA"/>
    <w:rsid w:val="00C82C67"/>
    <w:rsid w:val="00CA53DA"/>
    <w:rsid w:val="00CB0E5E"/>
    <w:rsid w:val="00CB4489"/>
    <w:rsid w:val="00CB479E"/>
    <w:rsid w:val="00CC6085"/>
    <w:rsid w:val="00CD6857"/>
    <w:rsid w:val="00CE2C4A"/>
    <w:rsid w:val="00CF01EC"/>
    <w:rsid w:val="00D02957"/>
    <w:rsid w:val="00D13E46"/>
    <w:rsid w:val="00D16756"/>
    <w:rsid w:val="00D51C2C"/>
    <w:rsid w:val="00D5239B"/>
    <w:rsid w:val="00D55F04"/>
    <w:rsid w:val="00D578C7"/>
    <w:rsid w:val="00D64F92"/>
    <w:rsid w:val="00D672C1"/>
    <w:rsid w:val="00D77283"/>
    <w:rsid w:val="00D77E5E"/>
    <w:rsid w:val="00D8180B"/>
    <w:rsid w:val="00D92EC4"/>
    <w:rsid w:val="00DB4017"/>
    <w:rsid w:val="00DC10D3"/>
    <w:rsid w:val="00DE2964"/>
    <w:rsid w:val="00E00CD7"/>
    <w:rsid w:val="00E224B9"/>
    <w:rsid w:val="00E344DF"/>
    <w:rsid w:val="00E5020B"/>
    <w:rsid w:val="00E5193B"/>
    <w:rsid w:val="00E53B07"/>
    <w:rsid w:val="00E60A8B"/>
    <w:rsid w:val="00E611DA"/>
    <w:rsid w:val="00E62370"/>
    <w:rsid w:val="00E92C3E"/>
    <w:rsid w:val="00E96933"/>
    <w:rsid w:val="00EA0555"/>
    <w:rsid w:val="00EA75A5"/>
    <w:rsid w:val="00EC0858"/>
    <w:rsid w:val="00EC279D"/>
    <w:rsid w:val="00EE09EB"/>
    <w:rsid w:val="00EE4C61"/>
    <w:rsid w:val="00F02D19"/>
    <w:rsid w:val="00F24245"/>
    <w:rsid w:val="00F26557"/>
    <w:rsid w:val="00F30034"/>
    <w:rsid w:val="00F35D2B"/>
    <w:rsid w:val="00F36C9D"/>
    <w:rsid w:val="00F42BAD"/>
    <w:rsid w:val="00F731F5"/>
    <w:rsid w:val="00F938DA"/>
    <w:rsid w:val="00FA0555"/>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youtube.com/watch?v=AFR9xbKe1mI&amp;ab_channel=Farmac%C3%A9uticos" TargetMode="External"/><Relationship Id="rId3" Type="http://schemas.openxmlformats.org/officeDocument/2006/relationships/customXml" Target="../customXml/item3.xml"/><Relationship Id="rId21" Type="http://schemas.openxmlformats.org/officeDocument/2006/relationships/hyperlink" Target="https://www.boe.es/buscar/pdf/2006/BOE-A-2006-13554-consolidado.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nfarma.lat/index.php/articulos/7-manejo-de-devoluciones-de-productos-farmaceutic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youtube.com/watch?v=laVQ-CKXE9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eVd371BkmTw"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7E41AF53-7F01-49E4-828E-1A7C23119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18</Pages>
  <Words>2350</Words>
  <Characters>12927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Jhon Jairo Urueta Alvarez</cp:lastModifiedBy>
  <cp:revision>5</cp:revision>
  <cp:lastPrinted>2023-08-29T15:15:00Z</cp:lastPrinted>
  <dcterms:created xsi:type="dcterms:W3CDTF">2023-07-31T14:25:00Z</dcterms:created>
  <dcterms:modified xsi:type="dcterms:W3CDTF">2023-08-29T15:20:00Z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