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F6D2B" w:rsidRDefault="005C1C25" w14:paraId="00000001" w14:textId="77777777">
      <w:pPr>
        <w:pStyle w:val="Normal0"/>
        <w:spacing w:after="1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FORMATO PARA EL DESARROLLO DE COMPONENTE FORMATIVO</w:t>
      </w:r>
    </w:p>
    <w:p w:rsidR="00BF6D2B" w:rsidRDefault="005C1C25" w14:paraId="00000002" w14:textId="77777777">
      <w:pPr>
        <w:pStyle w:val="Normal0"/>
        <w:tabs>
          <w:tab w:val="left" w:pos="3224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BF6D2B" w14:paraId="74A6D2E3" w14:textId="77777777">
        <w:trPr>
          <w:trHeight w:val="340"/>
        </w:trPr>
        <w:tc>
          <w:tcPr>
            <w:tcW w:w="3397" w:type="dxa"/>
            <w:vAlign w:val="center"/>
          </w:tcPr>
          <w:p w:rsidR="00BF6D2B" w:rsidRDefault="005C1C25" w14:paraId="00000003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="00BF6D2B" w:rsidRDefault="005C1C25" w14:paraId="00000004" w14:textId="77777777">
            <w:pPr>
              <w:pStyle w:val="Normal0"/>
              <w:spacing w:after="12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Tecnología en regencia de farmacia</w:t>
            </w:r>
          </w:p>
        </w:tc>
      </w:tr>
    </w:tbl>
    <w:p w:rsidR="00BF6D2B" w:rsidRDefault="00BF6D2B" w14:paraId="00000005" w14:textId="77777777">
      <w:pPr>
        <w:pStyle w:val="Normal0"/>
        <w:spacing w:after="120"/>
        <w:rPr>
          <w:sz w:val="20"/>
          <w:szCs w:val="20"/>
        </w:rPr>
      </w:pPr>
    </w:p>
    <w:tbl>
      <w:tblPr>
        <w:tblStyle w:val="a0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BF6D2B" w14:paraId="2A9DCCFA" w14:textId="77777777">
        <w:trPr>
          <w:trHeight w:val="340"/>
        </w:trPr>
        <w:tc>
          <w:tcPr>
            <w:tcW w:w="1838" w:type="dxa"/>
            <w:vAlign w:val="center"/>
          </w:tcPr>
          <w:p w:rsidR="00BF6D2B" w:rsidRDefault="005C1C25" w14:paraId="00000006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:rsidR="00BF6D2B" w:rsidRDefault="005C1C25" w14:paraId="00000007" w14:textId="77777777">
            <w:pPr>
              <w:pStyle w:val="Normal0"/>
              <w:spacing w:after="12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210101014- Seleccionar proveedores de acuerdo con las políticas de aprovisionamiento y normativa vigente.</w:t>
            </w:r>
          </w:p>
        </w:tc>
        <w:tc>
          <w:tcPr>
            <w:tcW w:w="2126" w:type="dxa"/>
            <w:vAlign w:val="center"/>
          </w:tcPr>
          <w:p w:rsidR="00BF6D2B" w:rsidRDefault="005C1C25" w14:paraId="00000008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:rsidR="00BF6D2B" w:rsidRDefault="005C1C25" w14:paraId="00000009" w14:textId="77777777">
            <w:pPr>
              <w:pStyle w:val="Normal0"/>
              <w:spacing w:after="120" w:line="276" w:lineRule="auto"/>
              <w:ind w:left="6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210101014-04 - Implementar acciones de mejora de acuerdo con los hallazgos evidenciados y el sistema integrado gestión de la</w:t>
            </w:r>
            <w:r>
              <w:rPr>
                <w:b w:val="0"/>
                <w:sz w:val="20"/>
                <w:szCs w:val="20"/>
              </w:rPr>
              <w:t xml:space="preserve"> calidad.</w:t>
            </w:r>
          </w:p>
        </w:tc>
      </w:tr>
    </w:tbl>
    <w:p w:rsidR="00BF6D2B" w:rsidRDefault="00BF6D2B" w14:paraId="0000000A" w14:textId="77777777">
      <w:pPr>
        <w:pStyle w:val="Normal0"/>
        <w:spacing w:after="120"/>
        <w:rPr>
          <w:sz w:val="20"/>
          <w:szCs w:val="20"/>
        </w:rPr>
      </w:pPr>
    </w:p>
    <w:p w:rsidR="00BF6D2B" w:rsidRDefault="00BF6D2B" w14:paraId="0000000B" w14:textId="77777777">
      <w:pPr>
        <w:pStyle w:val="Normal0"/>
        <w:spacing w:after="120"/>
        <w:rPr>
          <w:sz w:val="20"/>
          <w:szCs w:val="20"/>
        </w:rPr>
      </w:pPr>
    </w:p>
    <w:tbl>
      <w:tblPr>
        <w:tblStyle w:val="a1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BF6D2B" w14:paraId="7A5CC2D7" w14:textId="77777777">
        <w:trPr>
          <w:trHeight w:val="340"/>
        </w:trPr>
        <w:tc>
          <w:tcPr>
            <w:tcW w:w="3397" w:type="dxa"/>
            <w:vAlign w:val="center"/>
          </w:tcPr>
          <w:p w:rsidR="00BF6D2B" w:rsidRDefault="005C1C25" w14:paraId="0000000C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="00BF6D2B" w:rsidRDefault="005C1C25" w14:paraId="0000000D" w14:textId="77777777">
            <w:pPr>
              <w:pStyle w:val="Normal0"/>
              <w:spacing w:after="12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25</w:t>
            </w:r>
          </w:p>
        </w:tc>
      </w:tr>
      <w:tr w:rsidR="00BF6D2B" w14:paraId="2DF75EC3" w14:textId="77777777">
        <w:trPr>
          <w:trHeight w:val="340"/>
        </w:trPr>
        <w:tc>
          <w:tcPr>
            <w:tcW w:w="3397" w:type="dxa"/>
            <w:vAlign w:val="center"/>
          </w:tcPr>
          <w:p w:rsidR="00BF6D2B" w:rsidRDefault="005C1C25" w14:paraId="0000000E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="00BF6D2B" w:rsidRDefault="005C1C25" w14:paraId="0000000F" w14:textId="77777777">
            <w:pPr>
              <w:pStyle w:val="Normal0"/>
              <w:spacing w:after="12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Acciones de mejora del proceso de selección y adquisición</w:t>
            </w:r>
          </w:p>
        </w:tc>
      </w:tr>
      <w:tr w:rsidR="00BF6D2B" w14:paraId="238DD86F" w14:textId="77777777">
        <w:trPr>
          <w:trHeight w:val="340"/>
        </w:trPr>
        <w:tc>
          <w:tcPr>
            <w:tcW w:w="3397" w:type="dxa"/>
            <w:vAlign w:val="center"/>
          </w:tcPr>
          <w:p w:rsidR="00BF6D2B" w:rsidRDefault="005C1C25" w14:paraId="00000010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="00BF6D2B" w:rsidRDefault="005C1C25" w14:paraId="00000011" w14:textId="77777777">
            <w:pPr>
              <w:pStyle w:val="Normal0"/>
              <w:spacing w:after="120" w:line="276" w:lineRule="auto"/>
              <w:rPr>
                <w:sz w:val="20"/>
                <w:szCs w:val="20"/>
                <w:highlight w:val="yellow"/>
              </w:rPr>
            </w:pPr>
            <w:r>
              <w:rPr>
                <w:b w:val="0"/>
                <w:sz w:val="20"/>
                <w:szCs w:val="20"/>
              </w:rPr>
              <w:t xml:space="preserve">Se abordan conocimientos para seleccionar proveedores de acuerdo con las políticas de aprovisionamiento y normativa vigente, con miras a la implementación de acciones de mejora con hallazgos evidenciados y el sistema integrado gestión de la calidad de los </w:t>
            </w:r>
            <w:r>
              <w:rPr>
                <w:b w:val="0"/>
                <w:sz w:val="20"/>
                <w:szCs w:val="20"/>
              </w:rPr>
              <w:t xml:space="preserve">procesos selección y adquisición de medicamentos y dispositivos médicos, y que los aprendices reconozcan fallas que pueden ocurrir para prevenirlas y/o eliminarlas. </w:t>
            </w:r>
          </w:p>
        </w:tc>
      </w:tr>
      <w:tr w:rsidR="00BF6D2B" w14:paraId="2E4B2FCB" w14:textId="77777777">
        <w:trPr>
          <w:trHeight w:val="340"/>
        </w:trPr>
        <w:tc>
          <w:tcPr>
            <w:tcW w:w="3397" w:type="dxa"/>
            <w:vAlign w:val="center"/>
          </w:tcPr>
          <w:p w:rsidR="00BF6D2B" w:rsidRDefault="005C1C25" w14:paraId="00000012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="00BF6D2B" w:rsidRDefault="005C1C25" w14:paraId="00000013" w14:textId="77777777">
            <w:pPr>
              <w:pStyle w:val="Normal0"/>
              <w:spacing w:after="120" w:line="276" w:lineRule="auto"/>
              <w:rPr>
                <w:b w:val="0"/>
                <w:sz w:val="20"/>
                <w:szCs w:val="20"/>
                <w:highlight w:val="yellow"/>
              </w:rPr>
            </w:pPr>
            <w:r>
              <w:rPr>
                <w:b w:val="0"/>
                <w:sz w:val="20"/>
                <w:szCs w:val="20"/>
              </w:rPr>
              <w:t>Calidad, instrucciones, indicadores, mejora, procedimiento</w:t>
            </w:r>
          </w:p>
        </w:tc>
      </w:tr>
    </w:tbl>
    <w:p w:rsidR="00BF6D2B" w:rsidRDefault="00BF6D2B" w14:paraId="00000014" w14:textId="77777777">
      <w:pPr>
        <w:pStyle w:val="Normal0"/>
        <w:spacing w:after="120"/>
        <w:rPr>
          <w:sz w:val="20"/>
          <w:szCs w:val="20"/>
        </w:rPr>
      </w:pPr>
    </w:p>
    <w:tbl>
      <w:tblPr>
        <w:tblStyle w:val="a2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BF6D2B" w14:paraId="6D27C2AF" w14:textId="77777777">
        <w:trPr>
          <w:trHeight w:val="340"/>
        </w:trPr>
        <w:tc>
          <w:tcPr>
            <w:tcW w:w="3397" w:type="dxa"/>
            <w:vAlign w:val="center"/>
          </w:tcPr>
          <w:p w:rsidR="00BF6D2B" w:rsidRDefault="005C1C25" w14:paraId="00000015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="00BF6D2B" w:rsidRDefault="005C1C25" w14:paraId="00000016" w14:textId="77777777">
            <w:pPr>
              <w:pStyle w:val="Normal0"/>
              <w:spacing w:after="12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3 - Salud</w:t>
            </w:r>
          </w:p>
        </w:tc>
      </w:tr>
      <w:tr w:rsidR="00BF6D2B" w14:paraId="28F649EF" w14:textId="77777777">
        <w:trPr>
          <w:trHeight w:val="465"/>
        </w:trPr>
        <w:tc>
          <w:tcPr>
            <w:tcW w:w="3397" w:type="dxa"/>
            <w:vAlign w:val="center"/>
          </w:tcPr>
          <w:p w:rsidR="00BF6D2B" w:rsidRDefault="005C1C25" w14:paraId="00000017" w14:textId="77777777">
            <w:pPr>
              <w:pStyle w:val="Normal0"/>
              <w:spacing w:after="12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="00BF6D2B" w:rsidRDefault="005C1C25" w14:paraId="00000018" w14:textId="77777777">
            <w:pPr>
              <w:pStyle w:val="Normal0"/>
              <w:spacing w:after="120" w:line="276" w:lineRule="auto"/>
              <w:rPr>
                <w:b w:val="0"/>
                <w:color w:val="E36C09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Español</w:t>
            </w:r>
          </w:p>
        </w:tc>
      </w:tr>
    </w:tbl>
    <w:p w:rsidR="00BF6D2B" w:rsidRDefault="00BF6D2B" w14:paraId="00000019" w14:textId="77777777">
      <w:pPr>
        <w:pStyle w:val="Normal0"/>
        <w:spacing w:after="120"/>
        <w:rPr>
          <w:sz w:val="20"/>
          <w:szCs w:val="20"/>
        </w:rPr>
      </w:pPr>
    </w:p>
    <w:p w:rsidR="00BF6D2B" w:rsidRDefault="00BF6D2B" w14:paraId="0000001A" w14:textId="77777777">
      <w:pPr>
        <w:pStyle w:val="Normal0"/>
        <w:spacing w:after="120"/>
        <w:rPr>
          <w:sz w:val="20"/>
          <w:szCs w:val="20"/>
        </w:rPr>
      </w:pPr>
    </w:p>
    <w:p w:rsidR="00BF6D2B" w:rsidRDefault="005C1C25" w14:paraId="0000001B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TABLA DE CONTENIDOS: </w:t>
      </w:r>
    </w:p>
    <w:p w:rsidR="00BF6D2B" w:rsidRDefault="00BF6D2B" w14:paraId="0000001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</w:p>
    <w:p w:rsidR="00BF6D2B" w:rsidRDefault="005C1C25" w14:paraId="0000001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1. Sistema Integrado de Gestión (SIG)</w:t>
      </w:r>
    </w:p>
    <w:p w:rsidR="00BF6D2B" w:rsidRDefault="005C1C25" w14:paraId="0000001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 Estándares de calidad en los procesos de selección y adquisición de medicamentos y dispositivos médicos</w:t>
      </w:r>
    </w:p>
    <w:p w:rsidR="00BF6D2B" w:rsidRDefault="005C1C25" w14:paraId="0000001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2.1 Habilitación</w:t>
      </w:r>
    </w:p>
    <w:p w:rsidR="00BF6D2B" w:rsidRDefault="005C1C25" w14:paraId="0000002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2.2 Requisitos para la selección y adquisición de medicamentos y dispositivos médicos</w:t>
      </w:r>
    </w:p>
    <w:p w:rsidR="00BF6D2B" w:rsidRDefault="005C1C25" w14:paraId="00000021" w14:textId="77777777">
      <w:pPr>
        <w:pStyle w:val="Normal0"/>
        <w:spacing w:after="120"/>
        <w:rPr>
          <w:sz w:val="20"/>
          <w:szCs w:val="20"/>
        </w:rPr>
      </w:pPr>
      <w:r>
        <w:rPr>
          <w:sz w:val="20"/>
          <w:szCs w:val="20"/>
        </w:rPr>
        <w:t>2.3 Control de documentos y registros</w:t>
      </w:r>
    </w:p>
    <w:p w:rsidR="00BF6D2B" w:rsidRDefault="005C1C25" w14:paraId="00000022" w14:textId="77777777">
      <w:pPr>
        <w:pStyle w:val="Normal0"/>
        <w:spacing w:after="120"/>
        <w:rPr>
          <w:sz w:val="20"/>
          <w:szCs w:val="20"/>
        </w:rPr>
      </w:pPr>
      <w:r>
        <w:rPr>
          <w:sz w:val="20"/>
          <w:szCs w:val="20"/>
        </w:rPr>
        <w:t>2.4 Indicadores de gestión</w:t>
      </w:r>
    </w:p>
    <w:p w:rsidR="00BF6D2B" w:rsidRDefault="005C1C25" w14:paraId="00000023" w14:textId="77777777">
      <w:pPr>
        <w:pStyle w:val="Normal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3. Planes de mejora</w:t>
      </w:r>
    </w:p>
    <w:p w:rsidR="00BF6D2B" w:rsidRDefault="00BF6D2B" w14:paraId="0000002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</w:p>
    <w:p w:rsidR="00BF6D2B" w:rsidRDefault="005C1C25" w14:paraId="00000025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57" w:hanging="357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CONTENIDOS</w:t>
      </w:r>
    </w:p>
    <w:p w:rsidR="00BF6D2B" w:rsidRDefault="00BF6D2B" w14:paraId="0000002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</w:p>
    <w:p w:rsidR="00BF6D2B" w:rsidRDefault="005C1C25" w14:paraId="0000002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Introducción</w:t>
      </w:r>
    </w:p>
    <w:p w:rsidR="00BF6D2B" w:rsidRDefault="005C1C25" w14:paraId="0000002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sz w:val="20"/>
          <w:szCs w:val="20"/>
        </w:rPr>
      </w:pPr>
      <w:sdt>
        <w:sdtPr>
          <w:tag w:val="goog_rdk_0"/>
          <w:id w:val="2137486838"/>
        </w:sdtPr>
        <w:sdtEndPr/>
        <w:sdtContent>
          <w:commentRangeStart w:id="0"/>
        </w:sdtContent>
      </w:sdt>
    </w:p>
    <w:p w:rsidR="00BF6D2B" w:rsidP="50B8DF1A" w:rsidRDefault="005C1C25" w14:paraId="00000029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both"/>
        <w:rPr>
          <w:sz w:val="20"/>
          <w:szCs w:val="20"/>
        </w:rPr>
      </w:pPr>
      <w:commentRangeEnd w:id="0"/>
      <w:r>
        <w:commentReference w:id="0"/>
      </w:r>
      <w:commentRangeStart w:id="178524895"/>
      <w:r w:rsidR="005C1C25">
        <w:rPr>
          <w:sz w:val="20"/>
          <w:szCs w:val="20"/>
        </w:rPr>
        <w:t>Los procesos y procedimientos de selección y adquisición de medicamentos y dispositivos médicos son parte vital del funcionamiento de un servicio farmacéutico, por lo cual es necesario que estos se lleven a cabo cumpliendo en todo momento con los protocolo</w:t>
      </w:r>
      <w:r w:rsidR="005C1C25">
        <w:rPr>
          <w:sz w:val="20"/>
          <w:szCs w:val="20"/>
        </w:rPr>
        <w:t>s de calidad establecidos por la normatividad legal vigente. Lo que permite que esto sea posible, es la implementación de un sistema de gestión de la calidad que verifique y controle, constantemente, la forma de operación de dichos procesos y garantizar la</w:t>
      </w:r>
      <w:r w:rsidR="005C1C25">
        <w:rPr>
          <w:sz w:val="20"/>
          <w:szCs w:val="20"/>
        </w:rPr>
        <w:t xml:space="preserve"> perfección en la calidad de los mismos.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9D16CD" wp14:editId="07777777">
            <wp:simplePos x="0" y="0"/>
            <wp:positionH relativeFrom="column">
              <wp:posOffset>-634</wp:posOffset>
            </wp:positionH>
            <wp:positionV relativeFrom="paragraph">
              <wp:posOffset>6350</wp:posOffset>
            </wp:positionV>
            <wp:extent cx="1960245" cy="1306830"/>
            <wp:effectExtent l="0" t="0" r="0" b="0"/>
            <wp:wrapSquare wrapText="bothSides" distT="0" distB="0" distL="114300" distR="114300"/>
            <wp:docPr id="84" name="image6.jpg" descr="Cortar medicamento doctor droga médica Foto gr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ortar medicamento doctor droga médica Foto gratis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30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D2B" w:rsidRDefault="00BF6D2B" w14:paraId="0000002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</w:p>
    <w:p w:rsidR="00BF6D2B" w:rsidP="64C44958" w:rsidRDefault="005C1C25" w14:paraId="0000002B" w14:textId="17371F01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both"/>
        <w:rPr>
          <w:sz w:val="20"/>
          <w:szCs w:val="20"/>
        </w:rPr>
      </w:pPr>
      <w:r w:rsidRPr="64C44958" w:rsidR="649514FF">
        <w:rPr>
          <w:sz w:val="20"/>
          <w:szCs w:val="20"/>
        </w:rPr>
        <w:t>En este componente formativo</w:t>
      </w:r>
      <w:r w:rsidRPr="64C44958" w:rsidR="005C1C25">
        <w:rPr>
          <w:sz w:val="20"/>
          <w:szCs w:val="20"/>
        </w:rPr>
        <w:t>, se abordan diferentes temas relacionados con la verificación y control de los procesos y procedimientos de selección y adquisición de medicamentos y dispositivos médicos en un servicio farmacéutico</w:t>
      </w:r>
      <w:r w:rsidRPr="64C44958" w:rsidR="005C1C25">
        <w:rPr>
          <w:sz w:val="20"/>
          <w:szCs w:val="20"/>
        </w:rPr>
        <w:t>, para que los aprendices reconozcan la importancia y necesidad de la implementación del sistema de gestión de calidad.</w:t>
      </w:r>
    </w:p>
    <w:p w:rsidR="00BF6D2B" w:rsidP="50B8DF1A" w:rsidRDefault="00BF6D2B" w14:paraId="0000002C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jc w:val="both"/>
        <w:rPr>
          <w:b w:val="1"/>
          <w:bCs w:val="1"/>
          <w:color w:val="000000"/>
          <w:sz w:val="20"/>
          <w:szCs w:val="20"/>
        </w:rPr>
      </w:pPr>
      <w:commentRangeEnd w:id="178524895"/>
      <w:r>
        <w:rPr>
          <w:rStyle w:val="CommentReference"/>
        </w:rPr>
        <w:commentReference w:id="178524895"/>
      </w:r>
    </w:p>
    <w:p w:rsidR="00BF6D2B" w:rsidRDefault="005C1C25" w14:paraId="0000002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1. Sistema Integrado de Gestión (SIG)</w:t>
      </w:r>
      <w:sdt>
        <w:sdtPr>
          <w:tag w:val="goog_rdk_1"/>
          <w:id w:val="1181353287"/>
        </w:sdtPr>
        <w:sdtEndPr/>
        <w:sdtContent>
          <w:commentRangeStart w:id="1"/>
        </w:sdtContent>
      </w:sdt>
    </w:p>
    <w:p w:rsidR="00BF6D2B" w:rsidRDefault="005C1C25" w14:paraId="0000002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commentRangeEnd w:id="1"/>
      <w:r>
        <w:commentReference w:id="1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1B5CBE" wp14:editId="07777777">
            <wp:simplePos x="0" y="0"/>
            <wp:positionH relativeFrom="column">
              <wp:posOffset>-634</wp:posOffset>
            </wp:positionH>
            <wp:positionV relativeFrom="paragraph">
              <wp:posOffset>165735</wp:posOffset>
            </wp:positionV>
            <wp:extent cx="1889125" cy="1332230"/>
            <wp:effectExtent l="0" t="0" r="0" b="0"/>
            <wp:wrapSquare wrapText="bothSides" distT="0" distB="0" distL="114300" distR="114300"/>
            <wp:docPr id="85" name="image3.jpg" descr="Marca, Marcador, Mano, Escrib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, Marcador, Mano, Escribir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332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D2B" w:rsidRDefault="005C1C25" w14:paraId="0000002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 SIG es un instrumento que instaura el protocolo que se debe seguir todos los días al re</w:t>
      </w:r>
      <w:r>
        <w:rPr>
          <w:color w:val="000000"/>
          <w:sz w:val="20"/>
          <w:szCs w:val="20"/>
        </w:rPr>
        <w:t>alizar una actividad o procedimiento, con el propósito de:</w:t>
      </w:r>
    </w:p>
    <w:p w:rsidR="00BF6D2B" w:rsidRDefault="005C1C25" w14:paraId="00000030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Aprovechar </w:t>
      </w:r>
      <w:sdt>
        <w:sdtPr>
          <w:tag w:val="goog_rdk_2"/>
          <w:id w:val="1447617786"/>
        </w:sdtPr>
        <w:sdtEndPr/>
        <w:sdtContent>
          <w:commentRangeStart w:id="2"/>
        </w:sdtContent>
      </w:sdt>
      <w:r>
        <w:rPr>
          <w:color w:val="000000"/>
          <w:sz w:val="20"/>
          <w:szCs w:val="20"/>
        </w:rPr>
        <w:t>al máximo cada uno de los recursos disponibles.</w:t>
      </w:r>
    </w:p>
    <w:p w:rsidR="00BF6D2B" w:rsidRDefault="005C1C25" w14:paraId="00000031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Mejorar la institución.</w:t>
      </w:r>
    </w:p>
    <w:p w:rsidR="00BF6D2B" w:rsidRDefault="005C1C25" w14:paraId="00000032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Minimizar costos.</w:t>
      </w:r>
    </w:p>
    <w:p w:rsidR="00BF6D2B" w:rsidRDefault="005C1C25" w14:paraId="00000033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Aumentar el rendimiento en general </w:t>
      </w:r>
      <w:commentRangeEnd w:id="2"/>
      <w:r>
        <w:commentReference w:id="2"/>
      </w:r>
      <w:r>
        <w:rPr>
          <w:color w:val="000000"/>
          <w:sz w:val="20"/>
          <w:szCs w:val="20"/>
        </w:rPr>
        <w:t>de una organización.</w:t>
      </w:r>
    </w:p>
    <w:p w:rsidR="00BF6D2B" w:rsidRDefault="005C1C25" w14:paraId="0000003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Dentro de una organización, cada dependencia puede tener su propio sistema de gestión, aunque, por mantenimiento y manejo, lo mejor es unir en un mismo sistema las dependencias que por similitud lo permitan. De este modo se tienen:</w:t>
      </w:r>
    </w:p>
    <w:p w:rsidR="00BF6D2B" w:rsidRDefault="005C1C25" w14:paraId="00000035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sdt>
        <w:sdtPr>
          <w:tag w:val="goog_rdk_3"/>
          <w:id w:val="1302337651"/>
        </w:sdtPr>
        <w:sdtEndPr/>
        <w:sdtContent>
          <w:commentRangeStart w:id="3"/>
        </w:sdtContent>
      </w:sdt>
      <w:r>
        <w:rPr>
          <w:color w:val="000000"/>
          <w:sz w:val="20"/>
          <w:szCs w:val="20"/>
        </w:rPr>
        <w:t xml:space="preserve">Sistema de gestión de </w:t>
      </w:r>
      <w:r>
        <w:rPr>
          <w:color w:val="000000"/>
          <w:sz w:val="20"/>
          <w:szCs w:val="20"/>
        </w:rPr>
        <w:t>la calidad.</w:t>
      </w:r>
    </w:p>
    <w:p w:rsidR="00BF6D2B" w:rsidRDefault="005C1C25" w14:paraId="00000036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Sistema de gestión de seguridad.</w:t>
      </w:r>
    </w:p>
    <w:p w:rsidR="00BF6D2B" w:rsidRDefault="005C1C25" w14:paraId="00000037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Salud en el trabajo, entre otros.</w:t>
      </w:r>
      <w:commentRangeEnd w:id="3"/>
      <w:r>
        <w:commentReference w:id="3"/>
      </w:r>
    </w:p>
    <w:p w:rsidR="00BF6D2B" w:rsidRDefault="00BF6D2B" w14:paraId="0000003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3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nivel farmacéutico, el sistema que rige es el Sistema de Gestión de la Calidad (SGC), el cual está documentado normativamente por la </w:t>
      </w:r>
      <w:r>
        <w:rPr>
          <w:b/>
          <w:color w:val="000000"/>
          <w:sz w:val="20"/>
          <w:szCs w:val="20"/>
        </w:rPr>
        <w:t>Resolución 1403 de 2007</w:t>
      </w:r>
      <w:r>
        <w:rPr>
          <w:color w:val="000000"/>
          <w:sz w:val="20"/>
          <w:szCs w:val="20"/>
        </w:rPr>
        <w:t xml:space="preserve"> - capítulo IV </w:t>
      </w:r>
      <w:r>
        <w:rPr>
          <w:color w:val="000000"/>
          <w:sz w:val="20"/>
          <w:szCs w:val="20"/>
        </w:rPr>
        <w:t>– Sistemas de gestión de la calidad (p. 9). También es importante tener presente que cuando se trabaja con el SIG, la gestión de este es por medio de procesos y procedimientos, por lo cual todo establecimiento y servicio farmacéutico debe documentar los pr</w:t>
      </w:r>
      <w:r>
        <w:rPr>
          <w:color w:val="000000"/>
          <w:sz w:val="20"/>
          <w:szCs w:val="20"/>
        </w:rPr>
        <w:t xml:space="preserve">ocesos generales y los especiales que realice. </w:t>
      </w:r>
    </w:p>
    <w:p w:rsidR="00BF6D2B" w:rsidRDefault="00BF6D2B" w14:paraId="0000003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3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sdt>
        <w:sdtPr>
          <w:tag w:val="goog_rdk_4"/>
          <w:id w:val="1597774525"/>
        </w:sdtPr>
        <w:sdtEndPr/>
        <w:sdtContent>
          <w:commentRangeStart w:id="4"/>
        </w:sdtContent>
      </w:sdt>
      <w:r>
        <w:rPr>
          <w:b/>
          <w:color w:val="000000"/>
          <w:sz w:val="20"/>
          <w:szCs w:val="20"/>
        </w:rPr>
        <w:t>La selección y adquisición de medicamentos y dispositivos médicos</w:t>
      </w:r>
      <w:r>
        <w:rPr>
          <w:color w:val="000000"/>
          <w:sz w:val="20"/>
          <w:szCs w:val="20"/>
        </w:rPr>
        <w:t xml:space="preserve"> son dos de los procesos generales según la Resolución 1403 del 2007.</w:t>
      </w:r>
      <w:commentRangeEnd w:id="4"/>
      <w:r>
        <w:commentReference w:id="4"/>
      </w:r>
    </w:p>
    <w:p w:rsidR="00BF6D2B" w:rsidRDefault="00BF6D2B" w14:paraId="0000003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3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Además, el SIG tiene varias ventajas, como son:</w:t>
      </w:r>
    </w:p>
    <w:p w:rsidR="00BF6D2B" w:rsidRDefault="00BF6D2B" w14:paraId="0000003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3F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sdt>
        <w:sdtPr>
          <w:tag w:val="goog_rdk_5"/>
          <w:id w:val="939269148"/>
        </w:sdtPr>
        <w:sdtEndPr/>
        <w:sdtContent>
          <w:commentRangeStart w:id="5"/>
        </w:sdtContent>
      </w:sdt>
      <w:r>
        <w:rPr>
          <w:color w:val="000000"/>
          <w:sz w:val="20"/>
          <w:szCs w:val="20"/>
        </w:rPr>
        <w:t>Cada una de las actividades maximizan su rendimiento de forma consecutiva.</w:t>
      </w:r>
    </w:p>
    <w:p w:rsidR="00BF6D2B" w:rsidRDefault="005C1C25" w14:paraId="00000040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Minimiza la cantidad de manuales de gestión, el esfuerzo y la dedicación</w:t>
      </w:r>
    </w:p>
    <w:p w:rsidR="00BF6D2B" w:rsidRDefault="005C1C25" w14:paraId="00000041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evita la duplicidad de procedimientos e instructivos a</w:t>
      </w:r>
      <w:r>
        <w:rPr>
          <w:color w:val="000000"/>
          <w:sz w:val="20"/>
          <w:szCs w:val="20"/>
        </w:rPr>
        <w:t xml:space="preserve"> seguir.</w:t>
      </w:r>
    </w:p>
    <w:p w:rsidR="00BF6D2B" w:rsidRDefault="005C1C25" w14:paraId="00000042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Hay mucho más control de la información, entre otras.</w:t>
      </w:r>
      <w:commentRangeEnd w:id="5"/>
      <w:r>
        <w:commentReference w:id="5"/>
      </w:r>
    </w:p>
    <w:p w:rsidR="00BF6D2B" w:rsidRDefault="00BF6D2B" w14:paraId="0000004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4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 Estándares de calidad en los procesos de selección y adquisición de medicamentos y dispositivos médicos</w:t>
      </w:r>
    </w:p>
    <w:p w:rsidR="00BF6D2B" w:rsidRDefault="00BF6D2B" w14:paraId="0000004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</w:p>
    <w:p w:rsidR="00BF6D2B" w:rsidRDefault="005C1C25" w14:paraId="0000004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 Habilitación</w:t>
      </w:r>
      <w:sdt>
        <w:sdtPr>
          <w:tag w:val="goog_rdk_6"/>
          <w:id w:val="72087929"/>
        </w:sdtPr>
        <w:sdtEndPr/>
        <w:sdtContent>
          <w:commentRangeStart w:id="6"/>
        </w:sdtContent>
      </w:sdt>
    </w:p>
    <w:p w:rsidR="00BF6D2B" w:rsidRDefault="005C1C25" w14:paraId="0000004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commentRangeEnd w:id="6"/>
      <w:r>
        <w:commentReference w:id="6"/>
      </w:r>
      <w:sdt>
        <w:sdtPr>
          <w:tag w:val="goog_rdk_7"/>
          <w:id w:val="1899855089"/>
        </w:sdtPr>
        <w:sdtEndPr/>
        <w:sdtContent>
          <w:commentRangeStart w:id="7"/>
        </w:sdtContent>
      </w:sdt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1E00BB" wp14:editId="07777777">
            <wp:simplePos x="0" y="0"/>
            <wp:positionH relativeFrom="column">
              <wp:posOffset>-21589</wp:posOffset>
            </wp:positionH>
            <wp:positionV relativeFrom="paragraph">
              <wp:posOffset>130810</wp:posOffset>
            </wp:positionV>
            <wp:extent cx="1892300" cy="411480"/>
            <wp:effectExtent l="0" t="0" r="0" b="0"/>
            <wp:wrapSquare wrapText="bothSides" distT="0" distB="0" distL="114300" distR="114300"/>
            <wp:docPr id="91" name="image9.png" descr="Ministerio de Salud y Protección Social - República de Colomb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inisterio de Salud y Protección Social - República de Colombia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1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D2B" w:rsidRDefault="005C1C25" w14:paraId="0000004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Ministerio de Salud y Protección Social define el sistema único de habilitación como: </w:t>
      </w:r>
    </w:p>
    <w:p w:rsidR="00BF6D2B" w:rsidRDefault="005C1C25" w14:paraId="0000004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conjunto de normas, requisitos y procedimientos mediante los cuales se establece, registra, verifica y controla el cumplimiento de las condiciones básicas de capac</w:t>
      </w:r>
      <w:r>
        <w:rPr>
          <w:color w:val="000000"/>
          <w:sz w:val="20"/>
          <w:szCs w:val="20"/>
        </w:rPr>
        <w:t>idad tecnológica y científica, de suficiencia patrimonial y financiera y de capacidad técnico administrativa, indispensables para la entrada y permanencia en el Sistema, los cuales buscan dar seguridad a los usuarios frente a los potenciales riesgos asocia</w:t>
      </w:r>
      <w:r>
        <w:rPr>
          <w:color w:val="000000"/>
          <w:sz w:val="20"/>
          <w:szCs w:val="20"/>
        </w:rPr>
        <w:t>dos a la prestación de servicios y son de obligatorio cumplimiento por parte de los prestadores de servicios de salud y las empresas administradoras de planes de beneficios (EAPB)</w:t>
      </w:r>
      <w:commentRangeEnd w:id="7"/>
      <w:r>
        <w:commentReference w:id="7"/>
      </w:r>
      <w:r>
        <w:rPr>
          <w:color w:val="000000"/>
          <w:sz w:val="20"/>
          <w:szCs w:val="20"/>
        </w:rPr>
        <w:t>.</w:t>
      </w:r>
    </w:p>
    <w:p w:rsidR="00BF6D2B" w:rsidRDefault="00BF6D2B" w14:paraId="0000004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4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sdt>
        <w:sdtPr>
          <w:tag w:val="goog_rdk_8"/>
          <w:id w:val="308031276"/>
        </w:sdtPr>
        <w:sdtEndPr/>
        <w:sdtContent>
          <w:commentRangeStart w:id="8"/>
        </w:sdtContent>
      </w:sdt>
      <w:r>
        <w:rPr>
          <w:b/>
          <w:color w:val="000000"/>
          <w:sz w:val="20"/>
          <w:szCs w:val="20"/>
        </w:rPr>
        <w:t>A nivel general, el establecimiento o servicio farmacéutico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debe cump</w:t>
      </w:r>
      <w:r>
        <w:rPr>
          <w:sz w:val="20"/>
          <w:szCs w:val="20"/>
        </w:rPr>
        <w:t>lir</w:t>
      </w:r>
      <w:r>
        <w:rPr>
          <w:color w:val="000000"/>
          <w:sz w:val="20"/>
          <w:szCs w:val="20"/>
        </w:rPr>
        <w:t xml:space="preserve"> con los requisitos de habilitación establecidos en el Decreto 780 del 2016- capítulo 10 y la Resolución 1403 del 2007.</w:t>
      </w:r>
      <w:commentRangeEnd w:id="8"/>
      <w:r>
        <w:commentReference w:id="8"/>
      </w:r>
    </w:p>
    <w:p w:rsidR="00BF6D2B" w:rsidRDefault="00BF6D2B" w14:paraId="0000004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4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cuanto a los establecimientos farmacéuticos mayoristas o minoristas, además de cumplir con los requisitos de las normas anteri</w:t>
      </w:r>
      <w:r>
        <w:rPr>
          <w:color w:val="000000"/>
          <w:sz w:val="20"/>
          <w:szCs w:val="20"/>
        </w:rPr>
        <w:t>ormente mencionadas, también se deben acoger las impuestas por el ente territorial encargado de aprobar o desaprobar la habilitación, por ejemplo, en el caso de Antioquia es la Dirección Seccional de Salud de Antioquia.</w:t>
      </w:r>
    </w:p>
    <w:p w:rsidR="00BF6D2B" w:rsidRDefault="005C1C25" w14:paraId="0000004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servicios farmacéuticos de alta,</w:t>
      </w:r>
      <w:r>
        <w:rPr>
          <w:color w:val="000000"/>
          <w:sz w:val="20"/>
          <w:szCs w:val="20"/>
        </w:rPr>
        <w:t xml:space="preserve"> mediana y baja complejidad, a más de cumplir con los requisitos de las normas anteriormente mencionadas, también deben seguir los impuestas por la </w:t>
      </w:r>
      <w:r>
        <w:rPr>
          <w:b/>
          <w:color w:val="000000"/>
          <w:sz w:val="20"/>
          <w:szCs w:val="20"/>
        </w:rPr>
        <w:t>Resolución 3100 del 2009</w:t>
      </w:r>
      <w:r>
        <w:rPr>
          <w:color w:val="000000"/>
          <w:sz w:val="20"/>
          <w:szCs w:val="20"/>
        </w:rPr>
        <w:t>,  por la cual se definen los procedimientos y condiciones de inscripción de los pre</w:t>
      </w:r>
      <w:r>
        <w:rPr>
          <w:color w:val="000000"/>
          <w:sz w:val="20"/>
          <w:szCs w:val="20"/>
        </w:rPr>
        <w:t>stadores de servicios de salud y de habilitación de los servicios de salud y se adopta el Manual de Inscripción de Prestadores y Habilitación de Servicios de Salud, debido a que los servicios farmacéuticos están ligados a las instituciones prestadoras de s</w:t>
      </w:r>
      <w:r>
        <w:rPr>
          <w:color w:val="000000"/>
          <w:sz w:val="20"/>
          <w:szCs w:val="20"/>
        </w:rPr>
        <w:t>alud.</w:t>
      </w:r>
    </w:p>
    <w:p w:rsidR="00BF6D2B" w:rsidRDefault="00BF6D2B" w14:paraId="0000004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</w:p>
    <w:p w:rsidR="00BF6D2B" w:rsidRDefault="005C1C25" w14:paraId="0000005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2.2 Requisitos para la selección y adquisición de medicamentos y dispositivos médicos</w:t>
      </w:r>
    </w:p>
    <w:p w:rsidR="00BF6D2B" w:rsidRDefault="005C1C25" w14:paraId="0000005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estándares de calidad para medir los procesos de selección y adquisición de medicamentos y dispositivos médicos están regidos por el </w:t>
      </w:r>
      <w:r>
        <w:rPr>
          <w:b/>
          <w:color w:val="000000"/>
          <w:sz w:val="20"/>
          <w:szCs w:val="20"/>
        </w:rPr>
        <w:t xml:space="preserve">Decreto 780 del 2016 </w:t>
      </w:r>
      <w:r>
        <w:rPr>
          <w:color w:val="000000"/>
          <w:sz w:val="20"/>
          <w:szCs w:val="20"/>
        </w:rPr>
        <w:t>y la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Resolución 1403 del 2007</w:t>
      </w:r>
      <w:r>
        <w:rPr>
          <w:color w:val="000000"/>
          <w:sz w:val="20"/>
          <w:szCs w:val="20"/>
        </w:rPr>
        <w:t>, por lo que la forma de dar cumplimiento total a la normatividad es realizar auditorías internas y autoevaluaciones de verificación y control a la luz de esta pa</w:t>
      </w:r>
      <w:r>
        <w:rPr>
          <w:sz w:val="20"/>
          <w:szCs w:val="20"/>
        </w:rPr>
        <w:t xml:space="preserve">ra </w:t>
      </w:r>
      <w:r>
        <w:rPr>
          <w:color w:val="000000"/>
          <w:sz w:val="20"/>
          <w:szCs w:val="20"/>
        </w:rPr>
        <w:t>detectar a tiempo cualquier irregularidad que se pueda estar presen</w:t>
      </w:r>
      <w:r>
        <w:rPr>
          <w:color w:val="000000"/>
          <w:sz w:val="20"/>
          <w:szCs w:val="20"/>
        </w:rPr>
        <w:t>tando.</w:t>
      </w:r>
    </w:p>
    <w:p w:rsidR="00BF6D2B" w:rsidRDefault="00BF6D2B" w14:paraId="0000005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5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sdt>
        <w:sdtPr>
          <w:tag w:val="goog_rdk_9"/>
          <w:id w:val="786734122"/>
        </w:sdtPr>
        <w:sdtEndPr/>
        <w:sdtContent>
          <w:commentRangeStart w:id="9"/>
        </w:sdtContent>
      </w:sdt>
      <w:r>
        <w:rPr>
          <w:color w:val="000000"/>
          <w:sz w:val="20"/>
          <w:szCs w:val="20"/>
        </w:rPr>
        <w:t xml:space="preserve">En el proceso de adquisición de medicamentos y dispositivos médicos la Resolución 1403 del 2007 es puntual con el siguiente requerimiento: </w:t>
      </w:r>
    </w:p>
    <w:p w:rsidR="00BF6D2B" w:rsidRDefault="00BF6D2B" w14:paraId="0000005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BF6D2B" w:rsidRDefault="005C1C25" w14:paraId="0000005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el proceso de adquisición de medicamentos y dispositivos se controlará continuamente el cumplimiento de la norma</w:t>
      </w:r>
      <w:r>
        <w:rPr>
          <w:color w:val="000000"/>
          <w:sz w:val="20"/>
          <w:szCs w:val="20"/>
        </w:rPr>
        <w:t>tividad para la contratación administrativa, civil y comercial, según el caso, especialmente, el cumplimiento de los principios de economía, transparencia y selección objetiva del contratista. Además, se tendrá en cuenta el sistema de codificación para med</w:t>
      </w:r>
      <w:r>
        <w:rPr>
          <w:color w:val="000000"/>
          <w:sz w:val="20"/>
          <w:szCs w:val="20"/>
        </w:rPr>
        <w:t>icamentos y dispositivos médicos de acuerdo con lo que establezca para tal fin el Ministerio de la Protección Social (p. 45)</w:t>
      </w:r>
      <w:commentRangeEnd w:id="9"/>
      <w:r>
        <w:commentReference w:id="9"/>
      </w:r>
      <w:r>
        <w:rPr>
          <w:color w:val="000000"/>
          <w:sz w:val="20"/>
          <w:szCs w:val="20"/>
        </w:rPr>
        <w:t>.</w:t>
      </w:r>
    </w:p>
    <w:p w:rsidR="00BF6D2B" w:rsidRDefault="00BF6D2B" w14:paraId="0000005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BF6D2B" w:rsidRDefault="005C1C25" w14:paraId="0000005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sistema de codificación es el CUM, es un número de identificación del medicamento otorgado por el Invima para hacer más fác</w:t>
      </w:r>
      <w:r>
        <w:rPr>
          <w:color w:val="000000"/>
          <w:sz w:val="20"/>
          <w:szCs w:val="20"/>
        </w:rPr>
        <w:t>il la obtención y difusión de la información concerniente al producto en el mercado.</w:t>
      </w:r>
    </w:p>
    <w:p w:rsidR="00BF6D2B" w:rsidRDefault="00BF6D2B" w14:paraId="0000005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</w:p>
    <w:p w:rsidR="00BF6D2B" w:rsidRDefault="005C1C25" w14:paraId="0000005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2.3 Control de documentos y registros </w:t>
      </w:r>
    </w:p>
    <w:p w:rsidR="00BF6D2B" w:rsidRDefault="005C1C25" w14:paraId="0000005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Toda la información que se genere durante la realización de las actividades competentes a ambos procesos debe quedar documentada y </w:t>
      </w:r>
      <w:r>
        <w:rPr>
          <w:color w:val="000000"/>
          <w:sz w:val="20"/>
          <w:szCs w:val="20"/>
        </w:rPr>
        <w:t>archivada de manera segura y con acceso restringido, por lo que se debe determinar quién tendrá acceso a la información.</w:t>
      </w:r>
    </w:p>
    <w:p w:rsidR="00BF6D2B" w:rsidRDefault="005C1C25" w14:paraId="0000005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cuanto al archivo también se debe concretar por necesidad y complejidad el tiempo que se tendrán los documentos archivados, la mayor</w:t>
      </w:r>
      <w:r>
        <w:rPr>
          <w:color w:val="000000"/>
          <w:sz w:val="20"/>
          <w:szCs w:val="20"/>
        </w:rPr>
        <w:t xml:space="preserve"> parte de estos se dejan máximo dos años, pero puede haber algunos que sea necesario </w:t>
      </w:r>
      <w:r>
        <w:rPr>
          <w:sz w:val="20"/>
          <w:szCs w:val="20"/>
        </w:rPr>
        <w:t>tenerlos a disposición</w:t>
      </w:r>
      <w:r>
        <w:rPr>
          <w:color w:val="000000"/>
          <w:sz w:val="20"/>
          <w:szCs w:val="20"/>
        </w:rPr>
        <w:t xml:space="preserve"> hasta por 20 años.</w:t>
      </w:r>
    </w:p>
    <w:p w:rsidR="00BF6D2B" w:rsidRDefault="00BF6D2B" w14:paraId="0000005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</w:p>
    <w:p w:rsidR="00BF6D2B" w:rsidRDefault="005C1C25" w14:paraId="0000005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2.4 Indicadores de gestión</w:t>
      </w:r>
    </w:p>
    <w:p w:rsidR="00BF6D2B" w:rsidRDefault="005C1C25" w14:paraId="0000005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 indicador es la expresión cuantitativa que permite evidenciar el desempeño de un proceso o empresa, cuya dimensión, al compararse con un punto de referencia que suele ser la calidad esperada, puede mostrar una falla de calidad dando un resultado negativ</w:t>
      </w:r>
      <w:r>
        <w:rPr>
          <w:color w:val="000000"/>
          <w:sz w:val="20"/>
          <w:szCs w:val="20"/>
        </w:rPr>
        <w:t xml:space="preserve">o, lo que conlleva a tomar acciones correctivas y preventivas según el caso. </w:t>
      </w:r>
    </w:p>
    <w:p w:rsidR="00BF6D2B" w:rsidRDefault="005C1C25" w14:paraId="0000005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sdt>
        <w:sdtPr>
          <w:tag w:val="goog_rdk_10"/>
          <w:id w:val="2020323607"/>
        </w:sdtPr>
        <w:sdtEndPr/>
        <w:sdtContent>
          <w:commentRangeStart w:id="10"/>
        </w:sdtContent>
      </w:sdt>
      <w:r>
        <w:rPr>
          <w:color w:val="000000"/>
          <w:sz w:val="20"/>
          <w:szCs w:val="20"/>
        </w:rPr>
        <w:t>Teniendo presente que los indicadores de gestión son una de las columnas principales del programa de auditoría para el mejoramiento continuo de la calidad en la atención al pac</w:t>
      </w:r>
      <w:r>
        <w:rPr>
          <w:color w:val="000000"/>
          <w:sz w:val="20"/>
          <w:szCs w:val="20"/>
        </w:rPr>
        <w:t xml:space="preserve">iente y/o usuario, estos deben ser construidos con claridad y de forma explícita al proceso que se va a medir. </w:t>
      </w:r>
      <w:commentRangeEnd w:id="10"/>
      <w:r>
        <w:commentReference w:id="10"/>
      </w:r>
    </w:p>
    <w:p w:rsidR="00BF6D2B" w:rsidRDefault="005C1C25" w14:paraId="0000006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También debe existir un plan que permita el monitoreo y seguimiento inmediato de cada uno de los indicadores, para lo cual se puede usar la t</w:t>
      </w:r>
      <w:r>
        <w:rPr>
          <w:color w:val="000000"/>
          <w:sz w:val="20"/>
          <w:szCs w:val="20"/>
        </w:rPr>
        <w:t>écnica de semaforización, donde el verde indica cumplimiento al 100%, amarillo incumplimiento leve y rojo incumplimiento total.</w:t>
      </w:r>
    </w:p>
    <w:p w:rsidR="00BF6D2B" w:rsidRDefault="00BF6D2B" w14:paraId="0000006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6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siguiente imagen representa la semaforización de un indicador:</w:t>
      </w:r>
    </w:p>
    <w:p w:rsidR="00BF6D2B" w:rsidRDefault="00BF6D2B" w14:paraId="0000006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6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0"/>
          <w:szCs w:val="20"/>
        </w:rPr>
      </w:pPr>
      <w:sdt>
        <w:sdtPr>
          <w:tag w:val="goog_rdk_11"/>
          <w:id w:val="298482060"/>
        </w:sdtPr>
        <w:sdtEndPr/>
        <w:sdtContent>
          <w:commentRangeStart w:id="11"/>
        </w:sdtContent>
      </w:sdt>
      <w:r>
        <w:rPr>
          <w:noProof/>
          <w:sz w:val="20"/>
          <w:szCs w:val="20"/>
        </w:rPr>
        <w:drawing>
          <wp:inline distT="0" distB="0" distL="0" distR="0" wp14:anchorId="493A9E46" wp14:editId="07777777">
            <wp:extent cx="4167477" cy="713385"/>
            <wp:effectExtent l="0" t="0" r="0" b="0"/>
            <wp:docPr id="8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477" cy="71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1"/>
      <w:r>
        <w:commentReference w:id="11"/>
      </w:r>
    </w:p>
    <w:p w:rsidR="00BF6D2B" w:rsidRDefault="00BF6D2B" w14:paraId="0000006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6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Dentro de los estándares de calidad de los procesos de selección y adquisición de medicamentos y dispositivos médicos, los indicadores permiten evidenciar el grado de cumplimiento de dichos procesos en cuanto a productividad, impacto, resultados, entre otr</w:t>
      </w:r>
      <w:r>
        <w:rPr>
          <w:color w:val="000000"/>
          <w:sz w:val="20"/>
          <w:szCs w:val="20"/>
        </w:rPr>
        <w:t>os. Se debe tener en cuenta que cada indicador evalúa un solo elemento en específico, debe ser de fácil interpretación al leerlo y permitir adquirir la información en forma precisa y en tiempo real.</w:t>
      </w:r>
    </w:p>
    <w:p w:rsidR="00BF6D2B" w:rsidRDefault="005C1C25" w14:paraId="0000006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continuación, se relaciona información complementaria d</w:t>
      </w:r>
      <w:r>
        <w:rPr>
          <w:color w:val="000000"/>
          <w:sz w:val="20"/>
          <w:szCs w:val="20"/>
        </w:rPr>
        <w:t>e los indicadores:</w:t>
      </w:r>
    </w:p>
    <w:p w:rsidR="00BF6D2B" w:rsidRDefault="005C1C25" w14:paraId="0000006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0"/>
          <w:szCs w:val="20"/>
        </w:rPr>
      </w:pPr>
      <w:sdt>
        <w:sdtPr>
          <w:tag w:val="goog_rdk_12"/>
          <w:id w:val="640718008"/>
        </w:sdtPr>
        <w:sdtEndPr/>
        <w:sdtContent>
          <w:commentRangeStart w:id="12"/>
        </w:sdtContent>
      </w:sdt>
      <w:r>
        <w:rPr>
          <w:noProof/>
          <w:sz w:val="20"/>
          <w:szCs w:val="20"/>
        </w:rPr>
        <w:drawing>
          <wp:inline distT="0" distB="0" distL="0" distR="0" wp14:anchorId="1691B6FA" wp14:editId="07777777">
            <wp:extent cx="4469415" cy="781207"/>
            <wp:effectExtent l="0" t="0" r="0" b="0"/>
            <wp:docPr id="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415" cy="781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2"/>
      <w:r>
        <w:commentReference w:id="12"/>
      </w:r>
    </w:p>
    <w:p w:rsidR="00BF6D2B" w:rsidRDefault="00BF6D2B" w14:paraId="0000006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</w:p>
    <w:p w:rsidR="00BF6D2B" w:rsidRDefault="005C1C25" w14:paraId="0000006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3. Planes de mejora</w:t>
      </w:r>
    </w:p>
    <w:p w:rsidR="00BF6D2B" w:rsidRDefault="005C1C25" w14:paraId="0000006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Estos son los mecanismos para vigilar y perfeccionar el rendimiento de los procesos en general del servicio farmacéutico, por lo cual es necesario instaurar objetivos y detectar oportunidades de mejora partien</w:t>
      </w:r>
      <w:r>
        <w:rPr>
          <w:color w:val="000000"/>
          <w:sz w:val="20"/>
          <w:szCs w:val="20"/>
        </w:rPr>
        <w:t>do de los resultados obtenidos en las auditorías internas o autoevaluaciones.</w:t>
      </w:r>
    </w:p>
    <w:p w:rsidR="00BF6D2B" w:rsidRDefault="005C1C25" w14:paraId="0000006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Dentro de la mejora continua de la calidad de los procesos existen dos acciones a tomar, a saber:</w:t>
      </w:r>
    </w:p>
    <w:p w:rsidR="00BF6D2B" w:rsidRDefault="00BF6D2B" w14:paraId="0000006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6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sdt>
        <w:sdtPr>
          <w:tag w:val="goog_rdk_13"/>
          <w:id w:val="785973482"/>
        </w:sdtPr>
        <w:sdtEndPr/>
        <w:sdtContent>
          <w:commentRangeStart w:id="13"/>
        </w:sdtContent>
      </w:sdt>
      <w:r>
        <w:rPr>
          <w:b/>
          <w:color w:val="000000"/>
          <w:sz w:val="20"/>
          <w:szCs w:val="20"/>
        </w:rPr>
        <w:t>Acción preventiva</w:t>
      </w:r>
      <w:sdt>
        <w:sdtPr>
          <w:tag w:val="goog_rdk_14"/>
          <w:id w:val="1369838262"/>
        </w:sdtPr>
        <w:sdtEndPr/>
        <w:sdtContent>
          <w:commentRangeStart w:id="14"/>
        </w:sdtContent>
      </w:sdt>
    </w:p>
    <w:p w:rsidR="00BF6D2B" w:rsidRDefault="005C1C25" w14:paraId="0000006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commentRangeEnd w:id="14"/>
      <w:r>
        <w:commentReference w:id="14"/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F6CE8D8" wp14:editId="07777777">
            <wp:simplePos x="0" y="0"/>
            <wp:positionH relativeFrom="column">
              <wp:posOffset>-2539</wp:posOffset>
            </wp:positionH>
            <wp:positionV relativeFrom="paragraph">
              <wp:posOffset>165100</wp:posOffset>
            </wp:positionV>
            <wp:extent cx="1498600" cy="998220"/>
            <wp:effectExtent l="0" t="0" r="0" b="0"/>
            <wp:wrapSquare wrapText="bothSides" distT="0" distB="0" distL="114300" distR="114300"/>
            <wp:docPr id="86" name="image2.jpg" descr="Traje De Protección, Mascarilla, Car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aje De Protección, Mascarilla, Careta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D2B" w:rsidRDefault="005C1C25" w14:paraId="0000007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Son todas las acciones que se toman para prevenir una falla en el desarrollo del proceso. </w:t>
      </w:r>
    </w:p>
    <w:p w:rsidR="00BF6D2B" w:rsidRDefault="005C1C25" w14:paraId="0000007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el caso de los procesos de selección y adquisición, estas medidas son: los comités que se llevan a cabo mes a mes, la idoneidad del recurso humano que conforma ca</w:t>
      </w:r>
      <w:r>
        <w:rPr>
          <w:color w:val="000000"/>
          <w:sz w:val="20"/>
          <w:szCs w:val="20"/>
        </w:rPr>
        <w:t>da comité, la rigurosidad de la elaboración inicial del listado básico de medicamentos y dispositivos médicos, la adherencia del comité de compras al listado básico, la capacitación continua al personal, entre otras.</w:t>
      </w:r>
    </w:p>
    <w:p w:rsidR="00BF6D2B" w:rsidRDefault="00BF6D2B" w14:paraId="0000007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</w:p>
    <w:p w:rsidR="00BF6D2B" w:rsidRDefault="005C1C25" w14:paraId="0000007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Acción correctiva</w:t>
      </w:r>
      <w:sdt>
        <w:sdtPr>
          <w:tag w:val="goog_rdk_15"/>
          <w:id w:val="1251964224"/>
        </w:sdtPr>
        <w:sdtEndPr/>
        <w:sdtContent>
          <w:commentRangeStart w:id="15"/>
        </w:sdtContent>
      </w:sdt>
    </w:p>
    <w:p w:rsidR="00BF6D2B" w:rsidRDefault="005C1C25" w14:paraId="0000007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commentRangeEnd w:id="15"/>
      <w:r>
        <w:commentReference w:id="15"/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414D580" wp14:editId="07777777">
            <wp:simplePos x="0" y="0"/>
            <wp:positionH relativeFrom="column">
              <wp:posOffset>-2539</wp:posOffset>
            </wp:positionH>
            <wp:positionV relativeFrom="paragraph">
              <wp:posOffset>165100</wp:posOffset>
            </wp:positionV>
            <wp:extent cx="1498600" cy="1123950"/>
            <wp:effectExtent l="0" t="0" r="0" b="0"/>
            <wp:wrapSquare wrapText="bothSides" distT="0" distB="0" distL="114300" distR="114300"/>
            <wp:docPr id="83" name="image1.jpg" descr="Casa, Pandemia, Covid-19, Virus, Aislamiento, 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asa, Pandemia, Covid-19, Virus, Aislamiento, Hom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D2B" w:rsidRDefault="005C1C25" w14:paraId="0000007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Son aquellas </w:t>
      </w:r>
      <w:r>
        <w:rPr>
          <w:color w:val="000000"/>
          <w:sz w:val="20"/>
          <w:szCs w:val="20"/>
        </w:rPr>
        <w:t>que se realizan para erradicar las causas de la falla y evitar que vuelvan a ocurrir.</w:t>
      </w:r>
    </w:p>
    <w:p w:rsidR="00BF6D2B" w:rsidRDefault="005C1C25" w14:paraId="0000007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cuanto a los procesos de selección y adquisición, algunas de las medidas correctivas son: la disponibilidad del personal que conforma los comités para reuniones extrao</w:t>
      </w:r>
      <w:r>
        <w:rPr>
          <w:color w:val="000000"/>
          <w:sz w:val="20"/>
          <w:szCs w:val="20"/>
        </w:rPr>
        <w:t>rdinarias, la sujeción del personal a las decisiones tomadas de forma inmediata, nuevas negociaciones con nuevos proveedores, entre otras.</w:t>
      </w:r>
    </w:p>
    <w:p w:rsidR="00BF6D2B" w:rsidRDefault="005C1C25" w14:paraId="0000007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b/>
          <w:color w:val="000000"/>
          <w:sz w:val="20"/>
          <w:szCs w:val="20"/>
        </w:rPr>
      </w:pPr>
      <w:commentRangeEnd w:id="13"/>
      <w:r>
        <w:commentReference w:id="13"/>
      </w:r>
    </w:p>
    <w:p w:rsidR="00BF6D2B" w:rsidRDefault="005C1C25" w14:paraId="00000078" w14:textId="777777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ACTIVIDADES DIDÁCTICAS (OPCIONALES SI SON SUGERIDAS)</w:t>
      </w:r>
    </w:p>
    <w:p w:rsidR="00BF6D2B" w:rsidRDefault="00BF6D2B" w14:paraId="00000079" w14:textId="77777777">
      <w:pPr>
        <w:pStyle w:val="Normal0"/>
        <w:spacing w:after="120"/>
        <w:ind w:left="426"/>
        <w:jc w:val="both"/>
        <w:rPr>
          <w:color w:val="7F7F7F"/>
          <w:sz w:val="20"/>
          <w:szCs w:val="20"/>
        </w:rPr>
      </w:pPr>
    </w:p>
    <w:tbl>
      <w:tblPr>
        <w:tblStyle w:val="a3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BF6D2B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="00BF6D2B" w:rsidRDefault="005C1C25" w14:paraId="0000007A" w14:textId="77777777">
            <w:pPr>
              <w:pStyle w:val="Normal0"/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BF6D2B" w14:paraId="6E403EA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BF6D2B" w:rsidRDefault="005C1C25" w14:paraId="0000007C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BF6D2B" w:rsidRDefault="00BF6D2B" w14:paraId="0000007D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BF6D2B" w14:paraId="13CADAA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BF6D2B" w:rsidRDefault="005C1C25" w14:paraId="0000007E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BF6D2B" w:rsidRDefault="00BF6D2B" w14:paraId="0000007F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BF6D2B" w14:paraId="7C4893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BF6D2B" w:rsidRDefault="005C1C25" w14:paraId="00000080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BF6D2B" w:rsidRDefault="005C1C25" w14:paraId="00000081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92F526" wp14:editId="07777777">
                  <wp:extent cx="4169410" cy="2410460"/>
                  <wp:effectExtent l="0" t="0" r="0" b="0"/>
                  <wp:docPr id="8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D2B" w14:paraId="61289E3A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BF6D2B" w:rsidRDefault="005C1C25" w14:paraId="00000082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Archivo de la actividad </w:t>
            </w:r>
          </w:p>
          <w:p w:rsidR="00BF6D2B" w:rsidRDefault="005C1C25" w14:paraId="00000083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BF6D2B" w:rsidRDefault="00BF6D2B" w14:paraId="00000084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:rsidR="00BF6D2B" w:rsidRDefault="00BF6D2B" w14:paraId="00000085" w14:textId="77777777">
      <w:pPr>
        <w:pStyle w:val="Normal0"/>
        <w:spacing w:after="120"/>
        <w:ind w:left="426"/>
        <w:jc w:val="both"/>
        <w:rPr>
          <w:color w:val="7F7F7F"/>
          <w:sz w:val="20"/>
          <w:szCs w:val="20"/>
        </w:rPr>
      </w:pPr>
    </w:p>
    <w:p w:rsidR="00BF6D2B" w:rsidRDefault="005C1C25" w14:paraId="00000086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MATERIAL COMPLEMENTARIO: </w:t>
      </w:r>
    </w:p>
    <w:p w:rsidR="00BF6D2B" w:rsidRDefault="00BF6D2B" w14:paraId="00000087" w14:textId="77777777">
      <w:pPr>
        <w:pStyle w:val="Normal0"/>
        <w:spacing w:after="120"/>
        <w:rPr>
          <w:sz w:val="20"/>
          <w:szCs w:val="20"/>
        </w:rPr>
      </w:pPr>
    </w:p>
    <w:tbl>
      <w:tblPr>
        <w:tblStyle w:val="a4"/>
        <w:tblW w:w="100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BF6D2B" w14:paraId="18C53E35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88" w14:textId="77777777">
            <w:pPr>
              <w:pStyle w:val="Normal0"/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89" w14:textId="77777777">
            <w:pPr>
              <w:pStyle w:val="Normal0"/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8A" w14:textId="77777777">
            <w:pPr>
              <w:pStyle w:val="Normal0"/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material</w:t>
            </w:r>
          </w:p>
          <w:p w:rsidR="00BF6D2B" w:rsidRDefault="005C1C25" w14:paraId="0000008B" w14:textId="77777777">
            <w:pPr>
              <w:pStyle w:val="Normal0"/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8C" w14:textId="77777777">
            <w:pPr>
              <w:pStyle w:val="Normal0"/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del Recurso o</w:t>
            </w:r>
          </w:p>
          <w:p w:rsidR="00BF6D2B" w:rsidRDefault="005C1C25" w14:paraId="0000008D" w14:textId="77777777">
            <w:pPr>
              <w:pStyle w:val="Normal0"/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del documento o material</w:t>
            </w:r>
          </w:p>
        </w:tc>
      </w:tr>
      <w:tr w:rsidR="00BF6D2B" w14:paraId="536E7CE5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8E" w14:textId="77777777">
            <w:pPr>
              <w:pStyle w:val="Normal0"/>
              <w:spacing w:after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Indicadores de gestión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8F" w14:textId="77777777">
            <w:pPr>
              <w:pStyle w:val="Normal0"/>
              <w:spacing w:after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González, F. (s. f.). </w:t>
            </w:r>
            <w:r>
              <w:rPr>
                <w:b w:val="0"/>
                <w:i/>
                <w:sz w:val="20"/>
                <w:szCs w:val="20"/>
              </w:rPr>
              <w:t>4 indicadores herramientas para la calidad</w:t>
            </w:r>
            <w:r>
              <w:rPr>
                <w:b w:val="0"/>
                <w:sz w:val="20"/>
                <w:szCs w:val="20"/>
              </w:rPr>
              <w:t xml:space="preserve">. </w:t>
            </w:r>
            <w:hyperlink r:id="rId22">
              <w:r>
                <w:rPr>
                  <w:b w:val="0"/>
                  <w:color w:val="0000FF"/>
                  <w:sz w:val="20"/>
                  <w:szCs w:val="20"/>
                  <w:u w:val="single"/>
                </w:rPr>
                <w:t>https://es.calameo.com/books/0012362347d6b280a65c9</w:t>
              </w:r>
            </w:hyperlink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90" w14:textId="77777777">
            <w:pPr>
              <w:pStyle w:val="Normal0"/>
              <w:spacing w:after="12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Página 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D2B" w:rsidRDefault="005C1C25" w14:paraId="00000091" w14:textId="77777777">
            <w:pPr>
              <w:pStyle w:val="Normal0"/>
              <w:spacing w:after="120"/>
              <w:rPr>
                <w:b w:val="0"/>
                <w:sz w:val="20"/>
                <w:szCs w:val="20"/>
              </w:rPr>
            </w:pPr>
            <w:hyperlink r:id="rId23">
              <w:r>
                <w:rPr>
                  <w:b w:val="0"/>
                  <w:color w:val="0000FF"/>
                  <w:sz w:val="20"/>
                  <w:szCs w:val="20"/>
                  <w:u w:val="single"/>
                </w:rPr>
                <w:t>https://es.calameo.com/books/0012362347d6b280a65c9</w:t>
              </w:r>
            </w:hyperlink>
          </w:p>
          <w:p w:rsidR="00BF6D2B" w:rsidRDefault="00BF6D2B" w14:paraId="00000092" w14:textId="77777777">
            <w:pPr>
              <w:pStyle w:val="Normal0"/>
              <w:spacing w:after="120"/>
              <w:rPr>
                <w:b w:val="0"/>
                <w:sz w:val="20"/>
                <w:szCs w:val="20"/>
              </w:rPr>
            </w:pPr>
          </w:p>
        </w:tc>
      </w:tr>
    </w:tbl>
    <w:p w:rsidR="00BF6D2B" w:rsidRDefault="00BF6D2B" w14:paraId="00000093" w14:textId="77777777">
      <w:pPr>
        <w:pStyle w:val="Normal0"/>
        <w:spacing w:after="120"/>
        <w:rPr>
          <w:sz w:val="20"/>
          <w:szCs w:val="20"/>
        </w:rPr>
      </w:pPr>
    </w:p>
    <w:p w:rsidR="00BF6D2B" w:rsidRDefault="005C1C25" w14:paraId="00000094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GLOSARIO: </w:t>
      </w:r>
    </w:p>
    <w:tbl>
      <w:tblPr>
        <w:tblStyle w:val="a5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BF6D2B" w:rsidTr="2AF254C5" w14:paraId="4A65FD8B" w14:textId="77777777">
        <w:trPr>
          <w:trHeight w:val="214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5" w14:textId="77777777">
            <w:pPr>
              <w:pStyle w:val="Normal0"/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6" w14:textId="77777777">
            <w:pPr>
              <w:pStyle w:val="Normal0"/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SIGNIFICADO</w:t>
            </w:r>
          </w:p>
        </w:tc>
      </w:tr>
      <w:tr w:rsidR="00BF6D2B" w:rsidTr="2AF254C5" w14:paraId="53976C3C" w14:textId="77777777">
        <w:trPr>
          <w:trHeight w:val="214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7" w14:textId="1B09633B">
            <w:pPr>
              <w:pStyle w:val="Normal0"/>
              <w:spacing w:after="120"/>
              <w:rPr>
                <w:sz w:val="20"/>
                <w:szCs w:val="20"/>
              </w:rPr>
            </w:pPr>
            <w:r w:rsidRPr="2AF254C5" w:rsidR="005C1C25">
              <w:rPr>
                <w:sz w:val="20"/>
                <w:szCs w:val="20"/>
              </w:rPr>
              <w:t>Congruentes</w:t>
            </w:r>
            <w:r w:rsidRPr="2AF254C5" w:rsidR="4A6F11E9">
              <w:rPr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8" w14:textId="77777777">
            <w:pPr>
              <w:pStyle w:val="Normal0"/>
              <w:spacing w:after="12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conveniencia, coherencia o relación lógica que se establece entre distintas cosas.</w:t>
            </w:r>
          </w:p>
        </w:tc>
      </w:tr>
      <w:tr w:rsidR="00BF6D2B" w:rsidTr="2AF254C5" w14:paraId="0B3973C1" w14:textId="77777777">
        <w:trPr>
          <w:trHeight w:val="214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9" w14:textId="2845C94B">
            <w:pPr>
              <w:pStyle w:val="Normal0"/>
              <w:spacing w:after="120"/>
              <w:rPr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Cuantitativa</w:t>
            </w:r>
            <w:r w:rsidRPr="2AF254C5" w:rsidR="57C80D62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A" w14:textId="77777777">
            <w:pPr>
              <w:pStyle w:val="Normal0"/>
              <w:spacing w:after="12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adjetivo que refiere a la naturaleza numérica de datos, métodos, investigaciones y / o resultados.</w:t>
            </w:r>
          </w:p>
        </w:tc>
      </w:tr>
      <w:tr w:rsidR="00BF6D2B" w:rsidTr="2AF254C5" w14:paraId="7E19EEE9" w14:textId="77777777">
        <w:trPr>
          <w:trHeight w:val="214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B" w14:textId="7B9FFBE0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CUM</w:t>
            </w:r>
            <w:r w:rsidRPr="2AF254C5" w:rsidR="098C2C8A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C" w14:textId="77777777">
            <w:pPr>
              <w:pStyle w:val="Normal0"/>
              <w:spacing w:after="12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Código Único de Medicamentos.</w:t>
            </w:r>
          </w:p>
        </w:tc>
      </w:tr>
      <w:tr w:rsidR="00BF6D2B" w:rsidTr="2AF254C5" w14:paraId="033FDF91" w14:textId="77777777">
        <w:trPr>
          <w:trHeight w:val="214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D" w14:textId="072A6418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EAPB</w:t>
            </w:r>
            <w:r w:rsidRPr="2AF254C5" w:rsidR="47DB0ACE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E" w14:textId="2647D1F7">
            <w:pPr>
              <w:pStyle w:val="Normal0"/>
              <w:spacing w:after="120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2AF254C5" w:rsidR="47DB0ACE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E</w:t>
            </w:r>
            <w:r w:rsidRPr="2AF254C5" w:rsidR="005C1C25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mpresas Administra</w:t>
            </w:r>
            <w:r w:rsidRPr="2AF254C5" w:rsidR="005C1C25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doras de Planes de Beneficios.</w:t>
            </w:r>
          </w:p>
        </w:tc>
      </w:tr>
      <w:tr w:rsidR="00BF6D2B" w:rsidTr="2AF254C5" w14:paraId="7BCB13C7" w14:textId="77777777">
        <w:trPr>
          <w:trHeight w:val="214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9F" w14:textId="0F55053F">
            <w:pPr>
              <w:pStyle w:val="Normal0"/>
              <w:spacing w:after="120"/>
              <w:rPr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Extraordinarias</w:t>
            </w:r>
            <w:r w:rsidRPr="2AF254C5" w:rsidR="59600912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0" w14:textId="77777777">
            <w:pPr>
              <w:pStyle w:val="Normal0"/>
              <w:spacing w:after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fuera del orden o regla natural o común.</w:t>
            </w:r>
          </w:p>
        </w:tc>
      </w:tr>
      <w:tr w:rsidR="00BF6D2B" w:rsidTr="2AF254C5" w14:paraId="3EB5B7C8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1" w14:textId="03D26192">
            <w:pPr>
              <w:pStyle w:val="Normal0"/>
              <w:spacing w:after="120"/>
              <w:rPr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Habilitación</w:t>
            </w:r>
            <w:r w:rsidRPr="2AF254C5" w:rsidR="61A0C16F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2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refiere a la capacitación o adecuación para hacer algo o lograr alguna cuestión.</w:t>
            </w:r>
          </w:p>
        </w:tc>
      </w:tr>
      <w:tr w:rsidR="00BF6D2B" w:rsidTr="2AF254C5" w14:paraId="27EFE876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3" w14:textId="6518E829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Invima</w:t>
            </w:r>
            <w:r w:rsidRPr="2AF254C5" w:rsidR="7191F638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4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Instituto Nacional de Vigilancia de Medicamentos y Alimentos.</w:t>
            </w:r>
          </w:p>
        </w:tc>
      </w:tr>
      <w:tr w:rsidR="00BF6D2B" w:rsidTr="2AF254C5" w14:paraId="4281D9AE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5" w14:textId="19122541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Patrimonio</w:t>
            </w:r>
            <w:r w:rsidRPr="2AF254C5" w:rsidR="53420360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6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conjunto de los bienes y derechos de una persona.</w:t>
            </w:r>
          </w:p>
        </w:tc>
      </w:tr>
      <w:tr w:rsidR="00BF6D2B" w:rsidTr="2AF254C5" w14:paraId="0D522B33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7" w14:textId="1D430605">
            <w:pPr>
              <w:pStyle w:val="Normal0"/>
              <w:spacing w:after="120"/>
              <w:rPr>
                <w:sz w:val="20"/>
                <w:szCs w:val="20"/>
              </w:rPr>
            </w:pPr>
            <w:r w:rsidRPr="2AF254C5" w:rsidR="005C1C25">
              <w:rPr>
                <w:sz w:val="20"/>
                <w:szCs w:val="20"/>
              </w:rPr>
              <w:t>Restringido</w:t>
            </w:r>
            <w:r w:rsidRPr="2AF254C5" w:rsidR="73A4AE11">
              <w:rPr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8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 w:val="0"/>
                <w:sz w:val="20"/>
                <w:szCs w:val="20"/>
                <w:highlight w:val="white"/>
              </w:rPr>
            </w:pPr>
            <w:r>
              <w:rPr>
                <w:b w:val="0"/>
                <w:sz w:val="20"/>
                <w:szCs w:val="20"/>
                <w:highlight w:val="white"/>
              </w:rPr>
              <w:t>que tiene limitado o reducido el paso de personas o cosas.</w:t>
            </w:r>
          </w:p>
        </w:tc>
      </w:tr>
      <w:tr w:rsidR="00BF6D2B" w:rsidTr="2AF254C5" w14:paraId="47F5B7FA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9" w14:textId="24A15F33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SIG</w:t>
            </w:r>
            <w:r w:rsidRPr="2AF254C5" w:rsidR="06DB9B49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A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Sistema Integrado de Gestión.</w:t>
            </w:r>
          </w:p>
        </w:tc>
      </w:tr>
      <w:tr w:rsidR="00BF6D2B" w:rsidTr="2AF254C5" w14:paraId="2C5C13F1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B" w14:textId="77777777">
            <w:pPr>
              <w:pStyle w:val="Normal0"/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SGC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C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Sistema de Gestión de la Calidad.</w:t>
            </w:r>
          </w:p>
        </w:tc>
      </w:tr>
      <w:tr w:rsidR="00BF6D2B" w:rsidTr="2AF254C5" w14:paraId="324104DE" w14:textId="77777777">
        <w:trPr>
          <w:trHeight w:val="253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D" w14:textId="69D45F9A">
            <w:pPr>
              <w:pStyle w:val="Normal0"/>
              <w:spacing w:after="120"/>
              <w:rPr>
                <w:sz w:val="20"/>
                <w:szCs w:val="20"/>
              </w:rPr>
            </w:pPr>
            <w:r w:rsidRPr="2AF254C5" w:rsidR="005C1C25">
              <w:rPr>
                <w:color w:val="000000" w:themeColor="text1" w:themeTint="FF" w:themeShade="FF"/>
                <w:sz w:val="20"/>
                <w:szCs w:val="20"/>
              </w:rPr>
              <w:t>Suficiencia</w:t>
            </w:r>
            <w:r w:rsidRPr="2AF254C5" w:rsidR="0F671C59">
              <w:rPr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D2B" w:rsidRDefault="005C1C25" w14:paraId="000000AE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highlight w:val="white"/>
              </w:rPr>
              <w:t>término que puede usarse para hacer mención a una habilidad, un talento o una capacidad.</w:t>
            </w:r>
          </w:p>
        </w:tc>
      </w:tr>
    </w:tbl>
    <w:p w:rsidR="00BF6D2B" w:rsidRDefault="00BF6D2B" w14:paraId="000000AF" w14:textId="77777777">
      <w:pPr>
        <w:pStyle w:val="Normal0"/>
        <w:spacing w:after="120"/>
        <w:rPr>
          <w:sz w:val="20"/>
          <w:szCs w:val="20"/>
        </w:rPr>
      </w:pPr>
    </w:p>
    <w:p w:rsidR="00BF6D2B" w:rsidRDefault="005C1C25" w14:paraId="000000B0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REFERENCIAS BIBLIOGRÁFICAS: </w:t>
      </w:r>
    </w:p>
    <w:p w:rsidR="00BF6D2B" w:rsidRDefault="00BF6D2B" w14:paraId="000000B1" w14:textId="77777777">
      <w:pPr>
        <w:pStyle w:val="Normal0"/>
        <w:spacing w:after="120"/>
        <w:rPr>
          <w:sz w:val="20"/>
          <w:szCs w:val="20"/>
        </w:rPr>
      </w:pPr>
    </w:p>
    <w:p w:rsidR="00BF6D2B" w:rsidRDefault="005C1C25" w14:paraId="000000B2" w14:textId="77777777">
      <w:pPr>
        <w:pStyle w:val="Normal0"/>
        <w:spacing w:after="120"/>
        <w:ind w:left="720" w:hanging="720"/>
        <w:rPr>
          <w:sz w:val="20"/>
          <w:szCs w:val="20"/>
        </w:rPr>
      </w:pPr>
      <w:r>
        <w:rPr>
          <w:sz w:val="20"/>
          <w:szCs w:val="20"/>
        </w:rPr>
        <w:t>CTMA Consultores. (2018).</w:t>
      </w:r>
      <w:r>
        <w:rPr>
          <w:i/>
          <w:sz w:val="20"/>
          <w:szCs w:val="20"/>
        </w:rPr>
        <w:t xml:space="preserve"> ¿Qué son los sistemas de gestión integrados y por qué los necesitas? </w:t>
      </w:r>
      <w:hyperlink r:id="rId24">
        <w:r>
          <w:rPr>
            <w:color w:val="0000FF"/>
            <w:sz w:val="20"/>
            <w:szCs w:val="20"/>
            <w:u w:val="single"/>
          </w:rPr>
          <w:t>https://ctmaconsultores.com/sistemas-gestion-integrados/</w:t>
        </w:r>
      </w:hyperlink>
    </w:p>
    <w:p w:rsidR="00BF6D2B" w:rsidRDefault="005C1C25" w14:paraId="000000B3" w14:textId="77777777">
      <w:pPr>
        <w:pStyle w:val="Normal0"/>
        <w:spacing w:after="120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González, F. (s. f.) . </w:t>
      </w:r>
      <w:r>
        <w:rPr>
          <w:i/>
          <w:sz w:val="20"/>
          <w:szCs w:val="20"/>
        </w:rPr>
        <w:t xml:space="preserve">4 indicadores herramientas para la calidad. </w:t>
      </w:r>
      <w:hyperlink r:id="rId25">
        <w:r>
          <w:rPr>
            <w:color w:val="0000FF"/>
            <w:sz w:val="20"/>
            <w:szCs w:val="20"/>
            <w:u w:val="single"/>
          </w:rPr>
          <w:t>https://es.calameo.com/books/0012362347d6b280a65c9</w:t>
        </w:r>
      </w:hyperlink>
    </w:p>
    <w:p w:rsidR="00BF6D2B" w:rsidRDefault="005C1C25" w14:paraId="000000B4" w14:textId="77777777">
      <w:pPr>
        <w:pStyle w:val="Normal0"/>
        <w:spacing w:after="120"/>
        <w:ind w:left="720" w:hanging="720"/>
        <w:rPr>
          <w:sz w:val="20"/>
          <w:szCs w:val="20"/>
        </w:rPr>
      </w:pPr>
      <w:r>
        <w:rPr>
          <w:sz w:val="20"/>
          <w:szCs w:val="20"/>
        </w:rPr>
        <w:t>Ministerio de Protección Social. (</w:t>
      </w:r>
      <w:r>
        <w:rPr>
          <w:sz w:val="20"/>
          <w:szCs w:val="20"/>
        </w:rPr>
        <w:t xml:space="preserve">2007). Resolución 1403. Por la cual se determina el modelo de gestión del servicio farmacéutico, se adopta el manual de condiciones esenciales y procedimientos de dicho servicio y se dictan otras disposiciones. </w:t>
      </w:r>
      <w:hyperlink r:id="rId26">
        <w:r>
          <w:rPr>
            <w:color w:val="0000FF"/>
            <w:sz w:val="20"/>
            <w:szCs w:val="20"/>
            <w:u w:val="single"/>
          </w:rPr>
          <w:t>https://www.invima.gov.co/documents/20143/453029/Resoluci%C3%B3n+1403+de+2007.pdf/6b2e1ce1-bb34-e17f-03ef-34e35c126949</w:t>
        </w:r>
      </w:hyperlink>
    </w:p>
    <w:p w:rsidR="00BF6D2B" w:rsidRDefault="005C1C25" w14:paraId="000000B5" w14:textId="77777777">
      <w:pPr>
        <w:pStyle w:val="Normal0"/>
        <w:spacing w:after="120"/>
        <w:ind w:left="720" w:hanging="720"/>
        <w:rPr>
          <w:sz w:val="20"/>
          <w:szCs w:val="20"/>
        </w:rPr>
      </w:pPr>
      <w:r>
        <w:rPr>
          <w:sz w:val="20"/>
          <w:szCs w:val="20"/>
        </w:rPr>
        <w:t>Ministerio</w:t>
      </w:r>
      <w:r>
        <w:rPr>
          <w:sz w:val="20"/>
          <w:szCs w:val="20"/>
        </w:rPr>
        <w:t xml:space="preserve"> de Salud y Protección Social. (2016). Decreto 780. Por medio del cual se expide el Decreto Único Reglamentario del Sector Salud y Protección Social. </w:t>
      </w:r>
      <w:hyperlink r:id="rId27">
        <w:r>
          <w:rPr>
            <w:color w:val="0000FF"/>
            <w:sz w:val="20"/>
            <w:szCs w:val="20"/>
            <w:u w:val="single"/>
          </w:rPr>
          <w:t>https://www</w:t>
        </w:r>
        <w:r>
          <w:rPr>
            <w:color w:val="0000FF"/>
            <w:sz w:val="20"/>
            <w:szCs w:val="20"/>
            <w:u w:val="single"/>
          </w:rPr>
          <w:t>.minsalud.gov.co/Normatividad_Nuevo/Decreto%200780%20de%202016.pdf</w:t>
        </w:r>
      </w:hyperlink>
    </w:p>
    <w:p w:rsidR="00BF6D2B" w:rsidRDefault="00BF6D2B" w14:paraId="000000B6" w14:textId="77777777">
      <w:pPr>
        <w:pStyle w:val="Normal0"/>
        <w:spacing w:after="120"/>
        <w:rPr>
          <w:sz w:val="20"/>
          <w:szCs w:val="20"/>
        </w:rPr>
      </w:pPr>
    </w:p>
    <w:p w:rsidR="00BF6D2B" w:rsidRDefault="005C1C25" w14:paraId="000000B7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CONTROL DEL DOCUMENTO</w:t>
      </w:r>
    </w:p>
    <w:p w:rsidR="00BF6D2B" w:rsidRDefault="00BF6D2B" w14:paraId="000000B8" w14:textId="77777777">
      <w:pPr>
        <w:pStyle w:val="Normal0"/>
        <w:spacing w:after="120"/>
        <w:jc w:val="both"/>
        <w:rPr>
          <w:b/>
          <w:sz w:val="20"/>
          <w:szCs w:val="20"/>
        </w:rPr>
      </w:pPr>
    </w:p>
    <w:tbl>
      <w:tblPr>
        <w:tblStyle w:val="a6"/>
        <w:tblW w:w="9967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BF6D2B" w14:paraId="26B2C380" w14:textId="77777777">
        <w:tc>
          <w:tcPr>
            <w:tcW w:w="1272" w:type="dxa"/>
            <w:tcBorders>
              <w:top w:val="nil"/>
              <w:left w:val="nil"/>
            </w:tcBorders>
          </w:tcPr>
          <w:p w:rsidR="00BF6D2B" w:rsidRDefault="00BF6D2B" w14:paraId="000000B9" w14:textId="77777777">
            <w:pPr>
              <w:pStyle w:val="Normal0"/>
              <w:spacing w:after="12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BF6D2B" w:rsidRDefault="005C1C25" w14:paraId="000000BA" w14:textId="77777777">
            <w:pPr>
              <w:pStyle w:val="Normal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:rsidR="00BF6D2B" w:rsidRDefault="005C1C25" w14:paraId="000000BB" w14:textId="77777777">
            <w:pPr>
              <w:pStyle w:val="Normal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:rsidR="00BF6D2B" w:rsidRDefault="005C1C25" w14:paraId="000000BC" w14:textId="77777777">
            <w:pPr>
              <w:pStyle w:val="Normal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:rsidR="00BF6D2B" w:rsidRDefault="005C1C25" w14:paraId="000000BD" w14:textId="77777777">
            <w:pPr>
              <w:pStyle w:val="Normal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</w:tr>
      <w:tr w:rsidR="00BF6D2B" w14:paraId="1B99F840" w14:textId="77777777">
        <w:trPr>
          <w:trHeight w:val="340"/>
        </w:trPr>
        <w:tc>
          <w:tcPr>
            <w:tcW w:w="1272" w:type="dxa"/>
            <w:vMerge w:val="restart"/>
            <w:vAlign w:val="center"/>
          </w:tcPr>
          <w:p w:rsidR="00BF6D2B" w:rsidRDefault="005C1C25" w14:paraId="000000BE" w14:textId="77777777">
            <w:pPr>
              <w:pStyle w:val="Normal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 (es)</w:t>
            </w:r>
          </w:p>
        </w:tc>
        <w:tc>
          <w:tcPr>
            <w:tcW w:w="1991" w:type="dxa"/>
            <w:vAlign w:val="center"/>
          </w:tcPr>
          <w:p w:rsidR="00BF6D2B" w:rsidRDefault="005C1C25" w14:paraId="000000BF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Lina Marcela Ayala Pardo</w:t>
            </w:r>
          </w:p>
        </w:tc>
        <w:tc>
          <w:tcPr>
            <w:tcW w:w="1559" w:type="dxa"/>
            <w:vAlign w:val="center"/>
          </w:tcPr>
          <w:p w:rsidR="00BF6D2B" w:rsidRDefault="005C1C25" w14:paraId="000000C0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Experta Temática.</w:t>
            </w:r>
          </w:p>
        </w:tc>
        <w:tc>
          <w:tcPr>
            <w:tcW w:w="3257" w:type="dxa"/>
            <w:vAlign w:val="center"/>
          </w:tcPr>
          <w:p w:rsidR="00BF6D2B" w:rsidRDefault="005C1C25" w14:paraId="000000C1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Antioquia - Centro de Servicios de Salud.</w:t>
            </w:r>
          </w:p>
        </w:tc>
        <w:tc>
          <w:tcPr>
            <w:tcW w:w="1888" w:type="dxa"/>
            <w:vAlign w:val="center"/>
          </w:tcPr>
          <w:p w:rsidR="00BF6D2B" w:rsidRDefault="005C1C25" w14:paraId="000000C2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 2021</w:t>
            </w:r>
          </w:p>
        </w:tc>
      </w:tr>
      <w:tr w:rsidR="00BF6D2B" w14:paraId="135B3D8C" w14:textId="77777777">
        <w:trPr>
          <w:trHeight w:val="340"/>
        </w:trPr>
        <w:tc>
          <w:tcPr>
            <w:tcW w:w="1272" w:type="dxa"/>
            <w:vMerge/>
            <w:vAlign w:val="center"/>
          </w:tcPr>
          <w:p w:rsidR="00BF6D2B" w:rsidRDefault="00BF6D2B" w14:paraId="000000C3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BF6D2B" w:rsidRDefault="005C1C25" w14:paraId="000000C4" w14:textId="77777777">
            <w:pPr>
              <w:pStyle w:val="Normal0"/>
              <w:spacing w:after="1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Santis Mancipe</w:t>
            </w:r>
          </w:p>
        </w:tc>
        <w:tc>
          <w:tcPr>
            <w:tcW w:w="1559" w:type="dxa"/>
            <w:vAlign w:val="center"/>
          </w:tcPr>
          <w:p w:rsidR="00BF6D2B" w:rsidRDefault="005C1C25" w14:paraId="000000C5" w14:textId="77777777">
            <w:pPr>
              <w:pStyle w:val="Normal0"/>
              <w:spacing w:after="1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:rsidR="00BF6D2B" w:rsidRDefault="005C1C25" w14:paraId="000000C6" w14:textId="77777777">
            <w:pPr>
              <w:pStyle w:val="Normal0"/>
              <w:spacing w:after="120"/>
              <w:ind w:righ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Distrito Capital – Centro de Diseño y Metrología.</w:t>
            </w:r>
          </w:p>
        </w:tc>
        <w:tc>
          <w:tcPr>
            <w:tcW w:w="1888" w:type="dxa"/>
            <w:vAlign w:val="center"/>
          </w:tcPr>
          <w:p w:rsidR="00BF6D2B" w:rsidRDefault="005C1C25" w14:paraId="000000C7" w14:textId="77777777">
            <w:pPr>
              <w:pStyle w:val="Normal0"/>
              <w:spacing w:after="1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Agosto 2021</w:t>
            </w:r>
          </w:p>
        </w:tc>
      </w:tr>
      <w:tr w:rsidR="00BF6D2B" w14:paraId="5BB36C9F" w14:textId="77777777">
        <w:trPr>
          <w:trHeight w:val="340"/>
        </w:trPr>
        <w:tc>
          <w:tcPr>
            <w:tcW w:w="1272" w:type="dxa"/>
            <w:vMerge/>
            <w:vAlign w:val="center"/>
          </w:tcPr>
          <w:p w:rsidR="00BF6D2B" w:rsidRDefault="00BF6D2B" w14:paraId="000000C8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BF6D2B" w:rsidRDefault="005C1C25" w14:paraId="000000C9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Catalina Córdoba Sus</w:t>
            </w:r>
          </w:p>
        </w:tc>
        <w:tc>
          <w:tcPr>
            <w:tcW w:w="1559" w:type="dxa"/>
            <w:vAlign w:val="center"/>
          </w:tcPr>
          <w:p w:rsidR="00BF6D2B" w:rsidRDefault="005C1C25" w14:paraId="000000CA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Revisora Metodológica y Pedagógica</w:t>
            </w:r>
          </w:p>
        </w:tc>
        <w:tc>
          <w:tcPr>
            <w:tcW w:w="3257" w:type="dxa"/>
            <w:vAlign w:val="center"/>
          </w:tcPr>
          <w:p w:rsidR="00BF6D2B" w:rsidRDefault="005C1C25" w14:paraId="000000CB" w14:textId="77777777">
            <w:pPr>
              <w:pStyle w:val="Normal0"/>
              <w:spacing w:after="120"/>
              <w:ind w:righ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Distrito Capital – Centro para la Industria de la Comunicación Gráfica.</w:t>
            </w:r>
          </w:p>
        </w:tc>
        <w:tc>
          <w:tcPr>
            <w:tcW w:w="1888" w:type="dxa"/>
            <w:vAlign w:val="center"/>
          </w:tcPr>
          <w:p w:rsidR="00BF6D2B" w:rsidRDefault="005C1C25" w14:paraId="000000CC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>
              <w:rPr>
                <w:color w:val="000000"/>
                <w:sz w:val="20"/>
                <w:szCs w:val="20"/>
              </w:rPr>
              <w:t xml:space="preserve"> 2021</w:t>
            </w:r>
          </w:p>
        </w:tc>
      </w:tr>
      <w:tr w:rsidR="00BF6D2B" w14:paraId="08082ACF" w14:textId="77777777">
        <w:trPr>
          <w:trHeight w:val="340"/>
        </w:trPr>
        <w:tc>
          <w:tcPr>
            <w:tcW w:w="1272" w:type="dxa"/>
            <w:vMerge/>
            <w:vAlign w:val="center"/>
          </w:tcPr>
          <w:p w:rsidR="00BF6D2B" w:rsidRDefault="00BF6D2B" w14:paraId="000000CD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BF6D2B" w:rsidRDefault="005C1C25" w14:paraId="000000CE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:rsidR="00BF6D2B" w:rsidRDefault="005C1C25" w14:paraId="000000CF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Asesor pedagógico</w:t>
            </w:r>
          </w:p>
        </w:tc>
        <w:tc>
          <w:tcPr>
            <w:tcW w:w="3257" w:type="dxa"/>
            <w:vAlign w:val="center"/>
          </w:tcPr>
          <w:p w:rsidR="00BF6D2B" w:rsidRDefault="005C1C25" w14:paraId="000000D0" w14:textId="77777777">
            <w:pPr>
              <w:pStyle w:val="Normal0"/>
              <w:spacing w:after="120"/>
              <w:ind w:righ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:rsidR="00BF6D2B" w:rsidRDefault="005C1C25" w14:paraId="000000D1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</w:t>
            </w:r>
            <w:r>
              <w:rPr>
                <w:color w:val="000000"/>
                <w:sz w:val="20"/>
                <w:szCs w:val="20"/>
              </w:rPr>
              <w:t xml:space="preserve"> 2021</w:t>
            </w:r>
          </w:p>
        </w:tc>
      </w:tr>
      <w:tr w:rsidR="00BF6D2B" w14:paraId="7E3DBFE6" w14:textId="77777777">
        <w:trPr>
          <w:trHeight w:val="340"/>
        </w:trPr>
        <w:tc>
          <w:tcPr>
            <w:tcW w:w="1272" w:type="dxa"/>
          </w:tcPr>
          <w:p w:rsidR="00BF6D2B" w:rsidRDefault="00BF6D2B" w14:paraId="000000D2" w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BF6D2B" w:rsidRDefault="005C1C25" w14:paraId="000000D3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Gabriel Ortiz Abella</w:t>
            </w:r>
          </w:p>
        </w:tc>
        <w:tc>
          <w:tcPr>
            <w:tcW w:w="1559" w:type="dxa"/>
            <w:vAlign w:val="center"/>
          </w:tcPr>
          <w:p w:rsidR="00BF6D2B" w:rsidRDefault="005C1C25" w14:paraId="000000D4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Corrector de estilo</w:t>
            </w:r>
          </w:p>
        </w:tc>
        <w:tc>
          <w:tcPr>
            <w:tcW w:w="3257" w:type="dxa"/>
            <w:vAlign w:val="center"/>
          </w:tcPr>
          <w:p w:rsidR="00BF6D2B" w:rsidRDefault="005C1C25" w14:paraId="000000D5" w14:textId="77777777">
            <w:pPr>
              <w:pStyle w:val="Normal0"/>
              <w:spacing w:after="120"/>
              <w:ind w:righ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Distrito Capital - Centro de Diseño y Metrología.</w:t>
            </w:r>
          </w:p>
        </w:tc>
        <w:tc>
          <w:tcPr>
            <w:tcW w:w="1888" w:type="dxa"/>
            <w:vAlign w:val="center"/>
          </w:tcPr>
          <w:p w:rsidR="00BF6D2B" w:rsidRDefault="005C1C25" w14:paraId="000000D6" w14:textId="77777777">
            <w:pPr>
              <w:pStyle w:val="Normal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Junio del 2022.</w:t>
            </w:r>
          </w:p>
        </w:tc>
      </w:tr>
    </w:tbl>
    <w:p w:rsidR="00BF6D2B" w:rsidRDefault="00BF6D2B" w14:paraId="000000D7" w14:textId="77777777">
      <w:pPr>
        <w:pStyle w:val="Normal0"/>
        <w:spacing w:after="120"/>
        <w:jc w:val="both"/>
        <w:rPr>
          <w:b/>
          <w:sz w:val="20"/>
          <w:szCs w:val="20"/>
        </w:rPr>
      </w:pPr>
    </w:p>
    <w:p w:rsidR="00BF6D2B" w:rsidRDefault="00BF6D2B" w14:paraId="000000D8" w14:textId="77777777">
      <w:pPr>
        <w:pStyle w:val="Normal0"/>
        <w:spacing w:after="120"/>
        <w:jc w:val="both"/>
        <w:rPr>
          <w:b/>
          <w:sz w:val="20"/>
          <w:szCs w:val="20"/>
        </w:rPr>
      </w:pPr>
    </w:p>
    <w:p w:rsidR="00BF6D2B" w:rsidRDefault="00BF6D2B" w14:paraId="000000D9" w14:textId="77777777">
      <w:pPr>
        <w:pStyle w:val="Normal0"/>
        <w:spacing w:after="120"/>
        <w:rPr>
          <w:sz w:val="20"/>
          <w:szCs w:val="20"/>
        </w:rPr>
      </w:pPr>
    </w:p>
    <w:p w:rsidR="00BF6D2B" w:rsidRDefault="005C1C25" w14:paraId="000000DA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CONTROL DE CAMBIOS </w:t>
      </w:r>
    </w:p>
    <w:p w:rsidR="00BF6D2B" w:rsidRDefault="005C1C25" w14:paraId="000000D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(Diligenciar únicamente si realiza ajustes a la Unidad Temática)</w:t>
      </w:r>
    </w:p>
    <w:p w:rsidR="00BF6D2B" w:rsidRDefault="00BF6D2B" w14:paraId="000000DC" w14:textId="77777777">
      <w:pPr>
        <w:pStyle w:val="Normal0"/>
        <w:spacing w:after="120"/>
        <w:rPr>
          <w:sz w:val="20"/>
          <w:szCs w:val="20"/>
        </w:rPr>
      </w:pPr>
    </w:p>
    <w:tbl>
      <w:tblPr>
        <w:tblStyle w:val="a7"/>
        <w:tblW w:w="99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BF6D2B" w14:paraId="31F82D5C" w14:textId="77777777">
        <w:tc>
          <w:tcPr>
            <w:tcW w:w="1264" w:type="dxa"/>
            <w:tcBorders>
              <w:top w:val="nil"/>
              <w:left w:val="nil"/>
            </w:tcBorders>
          </w:tcPr>
          <w:p w:rsidR="00BF6D2B" w:rsidRDefault="00BF6D2B" w14:paraId="000000DD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="00BF6D2B" w:rsidRDefault="005C1C25" w14:paraId="000000DE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:rsidR="00BF6D2B" w:rsidRDefault="005C1C25" w14:paraId="000000DF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:rsidR="00BF6D2B" w:rsidRDefault="005C1C25" w14:paraId="000000E0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:rsidR="00BF6D2B" w:rsidRDefault="005C1C25" w14:paraId="000000E1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:rsidR="00BF6D2B" w:rsidRDefault="005C1C25" w14:paraId="000000E2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Razón del Cambio</w:t>
            </w:r>
          </w:p>
        </w:tc>
      </w:tr>
      <w:tr w:rsidR="00BF6D2B" w14:paraId="2FF467CA" w14:textId="77777777">
        <w:tc>
          <w:tcPr>
            <w:tcW w:w="1264" w:type="dxa"/>
          </w:tcPr>
          <w:p w:rsidR="00BF6D2B" w:rsidRDefault="005C1C25" w14:paraId="000000E3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:rsidR="00BF6D2B" w:rsidRDefault="00BF6D2B" w14:paraId="000000E4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F6D2B" w:rsidRDefault="00BF6D2B" w14:paraId="000000E5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F6D2B" w:rsidRDefault="00BF6D2B" w14:paraId="000000E6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:rsidR="00BF6D2B" w:rsidRDefault="00BF6D2B" w14:paraId="000000E7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:rsidR="00BF6D2B" w:rsidRDefault="00BF6D2B" w14:paraId="000000E8" w14:textId="77777777">
            <w:pPr>
              <w:pStyle w:val="Normal0"/>
              <w:spacing w:after="120"/>
              <w:jc w:val="both"/>
              <w:rPr>
                <w:sz w:val="20"/>
                <w:szCs w:val="20"/>
              </w:rPr>
            </w:pPr>
          </w:p>
        </w:tc>
      </w:tr>
    </w:tbl>
    <w:p w:rsidR="00BF6D2B" w:rsidRDefault="00BF6D2B" w14:paraId="000000E9" w14:textId="77777777">
      <w:pPr>
        <w:pStyle w:val="Normal0"/>
        <w:spacing w:after="120"/>
        <w:rPr>
          <w:color w:val="000000"/>
          <w:sz w:val="20"/>
          <w:szCs w:val="20"/>
        </w:rPr>
      </w:pPr>
    </w:p>
    <w:p w:rsidR="00BF6D2B" w:rsidRDefault="00BF6D2B" w14:paraId="000000EA" w14:textId="77777777">
      <w:pPr>
        <w:pStyle w:val="Normal0"/>
        <w:spacing w:after="120"/>
        <w:rPr>
          <w:sz w:val="20"/>
          <w:szCs w:val="20"/>
        </w:rPr>
      </w:pPr>
    </w:p>
    <w:sectPr w:rsidR="00BF6D2B">
      <w:headerReference w:type="default" r:id="rId28"/>
      <w:footerReference w:type="default" r:id="rId29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Gustavo Santis Mancipe" w:date="2021-08-20T09:40:00Z" w:id="0">
    <w:p w:rsidR="00BF6D2B" w:rsidRDefault="005C1C25" w14:paraId="000000F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Descargada de</w:t>
      </w:r>
    </w:p>
    <w:p w:rsidR="00BF6D2B" w:rsidRDefault="00BF6D2B" w14:paraId="000000FD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6D2B" w:rsidRDefault="005C1C25" w14:paraId="000000FE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https://www.freepik.es/foto-gratis/cortar-medicamento-doctor-droga-medica_990876.htm#page=1&amp;query=farmacia&amp;position=4</w:t>
      </w:r>
    </w:p>
  </w:comment>
  <w:comment w:initials="" w:author="Gustavo Santis Mancipe" w:date="2021-08-20T09:37:00Z" w:id="1">
    <w:p w:rsidR="00BF6D2B" w:rsidRDefault="005C1C25" w14:paraId="00000101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Descargada de</w:t>
      </w:r>
    </w:p>
    <w:p w:rsidR="00BF6D2B" w:rsidRDefault="00BF6D2B" w14:paraId="0000010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6D2B" w:rsidRDefault="005C1C25" w14:paraId="00000103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https://pixabay.com/es/illustrations/marca-marcador-mano-escribir-516277/</w:t>
      </w:r>
    </w:p>
  </w:comment>
  <w:comment w:initials="" w:author="Microsoft Office User" w:date="2021-08-25T21:30:00Z" w:id="2">
    <w:p w:rsidR="00BF6D2B" w:rsidRDefault="005C1C25" w14:paraId="00000107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Utiizar listado no ordenado.</w:t>
      </w:r>
    </w:p>
  </w:comment>
  <w:comment w:initials="" w:author="Gustavo Santis Mancipe" w:date="2021-08-20T09:41:00Z" w:id="3">
    <w:p w:rsidR="00BF6D2B" w:rsidRDefault="005C1C25" w14:paraId="00000105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</w:t>
      </w:r>
    </w:p>
  </w:comment>
  <w:comment w:initials="" w:author="Gustavo Santis Mancipe" w:date="2021-08-20T10:30:00Z" w:id="4">
    <w:p w:rsidR="00BF6D2B" w:rsidRDefault="005C1C25" w14:paraId="00000108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</w:t>
      </w:r>
    </w:p>
  </w:comment>
  <w:comment w:initials="" w:author="Gustavo Santis Mancipe" w:date="2021-08-20T09:37:00Z" w:id="5">
    <w:p w:rsidR="00BF6D2B" w:rsidRDefault="005C1C25" w14:paraId="00000100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</w:t>
      </w:r>
    </w:p>
  </w:comment>
  <w:comment w:initials="" w:author="Gustavo Santis Mancipe" w:date="2021-08-20T10:42:00Z" w:id="6">
    <w:p w:rsidR="00BF6D2B" w:rsidRDefault="005C1C25" w14:paraId="000000F5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Descargada de</w:t>
      </w:r>
    </w:p>
    <w:p w:rsidR="00BF6D2B" w:rsidRDefault="00BF6D2B" w14:paraId="000000F6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6D2B" w:rsidRDefault="005C1C25" w14:paraId="000000F7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https://www.minsalud.gov.co/LogosInstitucionales/logo-gobierno-Ministerio-de-Salud-y-Proteccion-Social-minsalud.png</w:t>
      </w:r>
    </w:p>
  </w:comment>
  <w:comment w:initials="" w:author="Gustavo Santis Mancipe" w:date="2021-08-20T10:55:00Z" w:id="7">
    <w:p w:rsidR="00BF6D2B" w:rsidRDefault="005C1C25" w14:paraId="000000F8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</w:t>
      </w:r>
    </w:p>
  </w:comment>
  <w:comment w:initials="" w:author="Gustavo Santis Mancipe" w:date="2021-08-20T10:36:00Z" w:id="8">
    <w:p w:rsidR="00BF6D2B" w:rsidRDefault="005C1C25" w14:paraId="000000FF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</w:t>
      </w:r>
    </w:p>
  </w:comment>
  <w:comment w:initials="" w:author="Gustavo Santis Mancipe" w:date="2021-08-20T09:42:00Z" w:id="9">
    <w:p w:rsidR="00BF6D2B" w:rsidRDefault="005C1C25" w14:paraId="00000104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</w:t>
      </w:r>
    </w:p>
  </w:comment>
  <w:comment w:initials="" w:author="Microsoft Office User" w:date="2021-08-25T21:37:00Z" w:id="10">
    <w:p w:rsidR="00BF6D2B" w:rsidRDefault="005C1C25" w14:paraId="00000106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 Cajó</w:t>
      </w:r>
      <w:r>
        <w:rPr>
          <w:color w:val="000000"/>
        </w:rPr>
        <w:t>n texto color.</w:t>
      </w:r>
    </w:p>
  </w:comment>
  <w:comment w:initials="" w:author="Gustavo Santis Mancipe" w:date="2021-08-20T11:02:00Z" w:id="11">
    <w:p w:rsidR="00BF6D2B" w:rsidRDefault="005C1C25" w14:paraId="000000F2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La información para desarrollar el recurso se encuentra la carpeta Formatos DI archivo:</w:t>
      </w:r>
    </w:p>
    <w:p w:rsidR="00BF6D2B" w:rsidRDefault="00BF6D2B" w14:paraId="000000F3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6D2B" w:rsidRDefault="005C1C25" w14:paraId="000000F4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CF025_2_4_indicadores.pptx</w:t>
      </w:r>
    </w:p>
  </w:comment>
  <w:comment w:initials="" w:author="Gustavo Santis Mancipe" w:date="2021-08-20T12:02:00Z" w:id="12">
    <w:p w:rsidR="00BF6D2B" w:rsidRDefault="005C1C25" w14:paraId="000000F9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La información para desarrollar el recurso se encuentra la carpeta Formatos DI archivo:</w:t>
      </w:r>
    </w:p>
    <w:p w:rsidR="00BF6D2B" w:rsidRDefault="00BF6D2B" w14:paraId="000000FA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6D2B" w:rsidRDefault="005C1C25" w14:paraId="000000FB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CF025_2_4_indicadores_procesos.pptx</w:t>
      </w:r>
    </w:p>
  </w:comment>
  <w:comment w:initials="" w:author="Gustavo Santis Mancipe" w:date="2021-08-20T12:32:00Z" w:id="14">
    <w:p w:rsidR="00BF6D2B" w:rsidRDefault="005C1C25" w14:paraId="00000109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Descargada de</w:t>
      </w:r>
    </w:p>
    <w:p w:rsidR="00BF6D2B" w:rsidRDefault="00BF6D2B" w14:paraId="0000010A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6D2B" w:rsidRDefault="005C1C25" w14:paraId="0000010B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https://pixabay.com/images/id-5716753/</w:t>
      </w:r>
    </w:p>
  </w:comment>
  <w:comment w:initials="" w:author="Gustavo Santis Mancipe" w:date="2021-08-20T12:30:00Z" w:id="15">
    <w:p w:rsidR="00BF6D2B" w:rsidRDefault="005C1C25" w14:paraId="0000010C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Descargada de</w:t>
      </w:r>
    </w:p>
    <w:p w:rsidR="00BF6D2B" w:rsidRDefault="00BF6D2B" w14:paraId="0000010D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F6D2B" w:rsidRDefault="005C1C25" w14:paraId="0000010E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https://pixabay.com/images/id-5509771/</w:t>
      </w:r>
    </w:p>
  </w:comment>
  <w:comment w:initials="" w:author="Microsoft Office User" w:date="2021-08-25T21:41:00Z" w:id="13">
    <w:p w:rsidR="00BF6D2B" w:rsidRDefault="005C1C25" w14:paraId="0000010F" w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Utilizar tarjetas conectadas.</w:t>
      </w:r>
    </w:p>
  </w:comment>
  <w:comment w:initials="LG" w:author="Liliana Victoria Morales Gualdron" w:date="2023-05-05T14:50:29" w:id="178524895">
    <w:p w:rsidR="50B8DF1A" w:rsidRDefault="50B8DF1A" w14:paraId="49BC4948" w14:textId="081C5A4E">
      <w:pPr>
        <w:pStyle w:val="CommentText"/>
      </w:pPr>
      <w:r w:rsidR="50B8DF1A">
        <w:rPr/>
        <w:t>Esto será un video a producir por LP DC-2023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0FE"/>
  <w15:commentEx w15:done="0" w15:paraId="00000103"/>
  <w15:commentEx w15:done="0" w15:paraId="00000107"/>
  <w15:commentEx w15:done="0" w15:paraId="00000105"/>
  <w15:commentEx w15:done="0" w15:paraId="00000108"/>
  <w15:commentEx w15:done="0" w15:paraId="00000100"/>
  <w15:commentEx w15:done="0" w15:paraId="000000F7"/>
  <w15:commentEx w15:done="0" w15:paraId="000000F8"/>
  <w15:commentEx w15:done="0" w15:paraId="000000FF"/>
  <w15:commentEx w15:done="0" w15:paraId="00000104"/>
  <w15:commentEx w15:done="0" w15:paraId="00000106"/>
  <w15:commentEx w15:done="0" w15:paraId="000000F4"/>
  <w15:commentEx w15:done="0" w15:paraId="000000FB"/>
  <w15:commentEx w15:done="0" w15:paraId="0000010B"/>
  <w15:commentEx w15:done="0" w15:paraId="0000010E"/>
  <w15:commentEx w15:done="0" w15:paraId="0000010F"/>
  <w15:commentEx w15:done="0" w15:paraId="49BC494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702EE6E" w16cex:dateUtc="2023-05-05T19:50:29.48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FE" w16cid:durableId="27FF7A0F"/>
  <w16cid:commentId w16cid:paraId="00000103" w16cid:durableId="27FF7A0E"/>
  <w16cid:commentId w16cid:paraId="00000107" w16cid:durableId="27FF7A0D"/>
  <w16cid:commentId w16cid:paraId="00000105" w16cid:durableId="27FF7A0C"/>
  <w16cid:commentId w16cid:paraId="00000108" w16cid:durableId="27FF7A0B"/>
  <w16cid:commentId w16cid:paraId="00000100" w16cid:durableId="27FF7A0A"/>
  <w16cid:commentId w16cid:paraId="000000F7" w16cid:durableId="27FF7A09"/>
  <w16cid:commentId w16cid:paraId="000000F8" w16cid:durableId="27FF7A08"/>
  <w16cid:commentId w16cid:paraId="000000FF" w16cid:durableId="27FF7A07"/>
  <w16cid:commentId w16cid:paraId="00000104" w16cid:durableId="27FF7A06"/>
  <w16cid:commentId w16cid:paraId="00000106" w16cid:durableId="27FF7A05"/>
  <w16cid:commentId w16cid:paraId="000000F4" w16cid:durableId="27FF7A04"/>
  <w16cid:commentId w16cid:paraId="000000FB" w16cid:durableId="27FF7A03"/>
  <w16cid:commentId w16cid:paraId="0000010B" w16cid:durableId="27FF7A02"/>
  <w16cid:commentId w16cid:paraId="0000010E" w16cid:durableId="27FF7A01"/>
  <w16cid:commentId w16cid:paraId="0000010F" w16cid:durableId="27FF7A00"/>
  <w16cid:commentId w16cid:paraId="49BC4948" w16cid:durableId="6702E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C1C25" w14:paraId="21EC47E0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5C1C25" w14:paraId="43608FB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D2B" w:rsidRDefault="00BF6D2B" w14:paraId="000000E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BF6D2B" w:rsidRDefault="00BF6D2B" w14:paraId="000000EE" w14:textId="77777777">
    <w:pPr>
      <w:pStyle w:val="Normal0"/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BF6D2B" w:rsidRDefault="00BF6D2B" w14:paraId="000000EF" w14:textId="77777777">
    <w:pPr>
      <w:pStyle w:val="Normal0"/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BF6D2B" w:rsidRDefault="00BF6D2B" w14:paraId="000000F0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BF6D2B" w:rsidRDefault="00BF6D2B" w14:paraId="000000F1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C1C25" w14:paraId="06601D19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5C1C25" w14:paraId="565EA5A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F6D2B" w:rsidRDefault="005C1C25" w14:paraId="000000EB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7C7C642" wp14:editId="07777777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9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F6D2B" w:rsidRDefault="00BF6D2B" w14:paraId="000000EC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1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DBFCA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293B722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AB2DF8E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28ACC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B3B5F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621763354">
    <w:abstractNumId w:val="4"/>
  </w:num>
  <w:num w:numId="2" w16cid:durableId="124201141">
    <w:abstractNumId w:val="2"/>
  </w:num>
  <w:num w:numId="3" w16cid:durableId="360673113">
    <w:abstractNumId w:val="1"/>
  </w:num>
  <w:num w:numId="4" w16cid:durableId="1992439679">
    <w:abstractNumId w:val="0"/>
  </w:num>
  <w:num w:numId="5" w16cid:durableId="1284531125">
    <w:abstractNumId w:val="3"/>
  </w:num>
  <w:num w:numId="6" w16cid:durableId="1722287489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iliana Victoria Morales Gualdron">
    <w15:presenceInfo w15:providerId="AD" w15:userId="S::lvmoralesg@sena.edu.co::c1cdd32a-831a-447f-9f5e-943a2078aa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2B"/>
    <w:rsid w:val="005C1C25"/>
    <w:rsid w:val="00BF6D2B"/>
    <w:rsid w:val="06DB9B49"/>
    <w:rsid w:val="098C2C8A"/>
    <w:rsid w:val="0F671C59"/>
    <w:rsid w:val="2AF254C5"/>
    <w:rsid w:val="47DB0ACE"/>
    <w:rsid w:val="4A6F11E9"/>
    <w:rsid w:val="50B8DF1A"/>
    <w:rsid w:val="53420360"/>
    <w:rsid w:val="549B1B6B"/>
    <w:rsid w:val="57C80D62"/>
    <w:rsid w:val="59600912"/>
    <w:rsid w:val="61A0C16F"/>
    <w:rsid w:val="649514FF"/>
    <w:rsid w:val="64C44958"/>
    <w:rsid w:val="7191F638"/>
    <w:rsid w:val="73A4A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EBAC"/>
  <w15:docId w15:val="{5A7627CB-F67B-4348-91B9-767F7C72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12" w:customStyle="1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1" w:customStyle="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 w:customStyle="1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unhideWhenUsed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styleId="9" w:customStyle="1">
    <w:name w:val="9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8" w:customStyle="1">
    <w:name w:val="8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7" w:customStyle="1">
    <w:name w:val="7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6" w:customStyle="1">
    <w:name w:val="6"/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5" w:customStyle="1">
    <w:name w:val="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4" w:customStyle="1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3" w:customStyle="1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2" w:customStyle="1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" w:customStyle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C22BFE"/>
    <w:rPr>
      <w:color w:val="605E5C"/>
      <w:shd w:val="clear" w:color="auto" w:fill="E1DFDD"/>
    </w:rPr>
  </w:style>
  <w:style w:type="paragraph" w:styleId="Default" w:customStyle="1">
    <w:name w:val="Default"/>
    <w:rsid w:val="00E143B9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sz w:val="24"/>
      <w:szCs w:val="24"/>
      <w:lang w:eastAsia="en-US"/>
    </w:rPr>
  </w:style>
  <w:style w:type="paragraph" w:styleId="CM3" w:customStyle="1">
    <w:name w:val="CM3"/>
    <w:basedOn w:val="Default"/>
    <w:next w:val="Default"/>
    <w:uiPriority w:val="99"/>
    <w:rsid w:val="00E143B9"/>
    <w:pPr>
      <w:spacing w:line="343" w:lineRule="atLeast"/>
    </w:pPr>
    <w:rPr>
      <w:color w:val="auto"/>
    </w:rPr>
  </w:style>
  <w:style w:type="paragraph" w:styleId="CM2" w:customStyle="1">
    <w:name w:val="CM2"/>
    <w:basedOn w:val="Default"/>
    <w:next w:val="Default"/>
    <w:uiPriority w:val="99"/>
    <w:rsid w:val="00E143B9"/>
    <w:pPr>
      <w:spacing w:line="346" w:lineRule="atLeast"/>
    </w:pPr>
    <w:rPr>
      <w:color w:val="auto"/>
    </w:rPr>
  </w:style>
  <w:style w:type="paragraph" w:styleId="Mapadeldocumento">
    <w:name w:val="Document Map"/>
    <w:basedOn w:val="Normal0"/>
    <w:link w:val="MapadeldocumentoCar"/>
    <w:uiPriority w:val="99"/>
    <w:semiHidden/>
    <w:unhideWhenUsed/>
    <w:rsid w:val="00D1300E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D1300E"/>
    <w:rPr>
      <w:rFonts w:ascii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173A3C"/>
    <w:pPr>
      <w:spacing w:line="240" w:lineRule="auto"/>
    </w:p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0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1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2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a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cPr>
      <w:shd w:val="clear" w:color="auto" w:fill="EDF2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image" Target="media/image5.png" Id="rId18" /><Relationship Type="http://schemas.openxmlformats.org/officeDocument/2006/relationships/hyperlink" Target="https://www.invima.gov.co/documents/20143/453029/Resoluci%C3%B3n+1403+de+2007.pdf/6b2e1ce1-bb34-e17f-03ef-34e35c126949" TargetMode="External" Id="rId26" /><Relationship Type="http://schemas.openxmlformats.org/officeDocument/2006/relationships/customXml" Target="../customXml/item3.xml" Id="rId3" /><Relationship Type="http://schemas.openxmlformats.org/officeDocument/2006/relationships/image" Target="media/image8.png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4.png" Id="rId17" /><Relationship Type="http://schemas.openxmlformats.org/officeDocument/2006/relationships/hyperlink" Target="https://es.calameo.com/books/0012362347d6b280a65c9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7.jp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hyperlink" Target="https://ctmaconsultores.com/sistemas-gestion-integrados/" TargetMode="External" Id="rId24" /><Relationship Type="http://schemas.openxmlformats.org/officeDocument/2006/relationships/numbering" Target="numbering.xml" Id="rId5" /><Relationship Type="http://schemas.openxmlformats.org/officeDocument/2006/relationships/image" Target="media/image2.jpg" Id="rId15" /><Relationship Type="http://schemas.openxmlformats.org/officeDocument/2006/relationships/hyperlink" Target="https://es.calameo.com/books/0012362347d6b280a65c9" TargetMode="External" Id="rId23" /><Relationship Type="http://schemas.openxmlformats.org/officeDocument/2006/relationships/header" Target="header1.xml" Id="rId28" /><Relationship Type="http://schemas.openxmlformats.org/officeDocument/2006/relationships/endnotes" Target="endnotes.xml" Id="rId10" /><Relationship Type="http://schemas.openxmlformats.org/officeDocument/2006/relationships/image" Target="media/image6.jp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jpg" Id="rId14" /><Relationship Type="http://schemas.openxmlformats.org/officeDocument/2006/relationships/hyperlink" Target="https://es.calameo.com/books/0012362347d6b280a65c9" TargetMode="External" Id="rId22" /><Relationship Type="http://schemas.openxmlformats.org/officeDocument/2006/relationships/hyperlink" Target="https://www.minsalud.gov.co/Normatividad_Nuevo/Decreto%200780%20de%202016.pdf" TargetMode="External" Id="rId27" /><Relationship Type="http://schemas.openxmlformats.org/officeDocument/2006/relationships/fontTable" Target="fontTable.xml" Id="rId30" /><Relationship Type="http://schemas.microsoft.com/office/2011/relationships/people" Target="people.xml" Id="Rfde68d698fc24812" /><Relationship Type="http://schemas.microsoft.com/office/2018/08/relationships/commentsExtensible" Target="commentsExtensible.xml" Id="R3ef63788f4ca440f" /><Relationship Type="http://schemas.openxmlformats.org/officeDocument/2006/relationships/glossaryDocument" Target="glossary/document.xml" Id="R0e78d5c89c58495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adba-3ad5-41f3-b726-3e0c903aaec5}"/>
      </w:docPartPr>
      <w:docPartBody>
        <w:p w14:paraId="25B22B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7LZ69MZOdyj3GkF2oPVs2hueQ==">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</go:docsCustomData>
</go:gDocsCustomXmlDataStorage>
</file>

<file path=customXml/itemProps1.xml><?xml version="1.0" encoding="utf-8"?>
<ds:datastoreItem xmlns:ds="http://schemas.openxmlformats.org/officeDocument/2006/customXml" ds:itemID="{77726A88-E3DD-4EC0-9D8F-AD050834D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84298-69BC-4D28-BFBC-B72594E2AFCE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025A1F92-3C1D-46A7-AE75-FEFC7DD15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Ariza Luque</dc:creator>
  <lastModifiedBy>Gloria Lida Alzate Suarez</lastModifiedBy>
  <revision>4</revision>
  <dcterms:created xsi:type="dcterms:W3CDTF">2023-05-05T19:50:00.0000000Z</dcterms:created>
  <dcterms:modified xsi:type="dcterms:W3CDTF">2023-05-30T23:32:28.2782637Z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4079200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2023-05-05T19:50:08Z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0d73b0a5-9881-4ce6-b2dd-30d3205a63e8</vt:lpwstr>
  </property>
  <property fmtid="{D5CDD505-2E9C-101B-9397-08002B2CF9AE}" pid="16" name="MSIP_Label_1299739c-ad3d-4908-806e-4d91151a6e13_ContentBits">
    <vt:lpwstr>0</vt:lpwstr>
  </property>
</Properties>
</file>