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4.0" w:type="dxa"/>
        <w:jc w:val="left"/>
        <w:tblInd w:w="-572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1267"/>
        <w:gridCol w:w="1267"/>
        <w:gridCol w:w="5460"/>
        <w:gridCol w:w="2160"/>
        <w:tblGridChange w:id="0">
          <w:tblGrid>
            <w:gridCol w:w="1267"/>
            <w:gridCol w:w="1267"/>
            <w:gridCol w:w="5460"/>
            <w:gridCol w:w="2160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b="0" l="0" r="0" t="0"/>
                  <wp:wrapSquare wrapText="bothSides" distB="0" distT="0" distL="114300" distR="11430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d7d31"/>
                <w:sz w:val="28"/>
                <w:szCs w:val="28"/>
                <w:rtl w:val="0"/>
              </w:rPr>
              <w:t xml:space="preserve">ACTIVIDAD DIDÁCTICA CUESTIONARIO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9">
            <w:pPr>
              <w:spacing w:after="1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Generalidades de la actividad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1080" w:hanging="36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Las indicaciones, el mensaje de correcto e incorrecto debe estar la redacción en segunda persona.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160" w:line="259" w:lineRule="auto"/>
              <w:ind w:left="1080" w:hanging="36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Diligenciar solo los espacios en blanco.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1080" w:hanging="36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El aprendiz recibe una retroalimentación cuando responde de manera correcta o incorrecta cada pregunta.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1080" w:hanging="36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Señale en la columna Rta. Correcta con una (x) de acuerdo con las opciones presentadas.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160" w:lineRule="auto"/>
              <w:ind w:left="1080" w:hanging="36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Al final de la actividad se muestra una retroalimentación de felicitación si logra el 70% de respuestas correctas o retroalimentación de mejora si es inferior a este porcentaje.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responsive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Instrucciones para el aprendiz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i w:val="1"/>
                <w:color w:val="000000"/>
                <w:shd w:fill="ffe599" w:val="clear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Esta actividad le permitirá determinar el grado de apropiación de los contenidos del componente formativo: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Programación de eventos de personajes y entornos.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i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i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Antes de su realización, se recomienda la lectura del componente formativo mencionado. Es opcional (no es calificable), y puede realizarse todas las veces que se desee.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i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Lea la afirmación de cada ítem y luego señale verdadero o falso según corresponda.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Nombre de la Actividad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Conocimiento en videojuegos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Objetivo de la actividad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Identificar los diferentes componentes usados en la programación de eventos y personajes en los videojuegos.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Texto descriptivo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Lee detalladamente cada una de las preguntas y responde correctamente cada una de ellas. Demuestra tus conocimientos en el desarrollo de videojuegos.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  <w:shd w:fill="ffe599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Pregunta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Componente usado en los personajes para detectar colisiones con otros GameObjects.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Rta(s) correcta(s) (x)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Rigibody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BoxCollider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c)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CharacterController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d)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PlayerController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Excelente, tu respuesta fue correcta; continúa con tu formación y desarrolla habilidades en videojuegos.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Respuesta incorrecta, te recomendamos revisar la unidad correspondiente a programación de eventos disparadores (interacción con el entorno.)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Pregunta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Método usado en Unity 3D para detectar el momento en que dos GameObjects se entrelazan entre sí.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OnCollisionEnter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OnTriggerExit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c)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OnTriggerEnter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d)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EventSystem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Excelente, tu respuesta fue correcta; continúa con tu formación y desarrolla habilidades en videojuegos.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Respuesta incorrecta, te recomendamos revisar la unidad correspondiente a programación de eventos disparadores (interacción con el entorno).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Pregunta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GameObject usado en Unity 3D para habilitar la ejecución de eventos en la UI.</w:t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RayCast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SystemEvent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c)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EventSystem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d)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OnEvent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Excelente, tu respuesta fue correcta; continúa con tu formación y desarrolla habilidades en videojuegos.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Respuesta incorrecta, te recomendamos revisar la unidad correspondiente a programación de eventos de interfaz HUD.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Pregunta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Elementos de la UI que permite mostrar elementos en forma de lista.</w:t>
            </w:r>
          </w:p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Slider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Button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c)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Panel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d)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DropDown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Excelente, tu respuesta fue correcta; continúa con tu formación y desarrolla habilidades en videojuegos.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Respuesta incorrecta, te recomendamos revisar la unidad correspondiente a programación de eventos de interfaz HUD.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Pregunta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Opción del menú principal que permite activar la ventana de navegación en unity3D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Windows&gt;Navigation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Windows&gt;AI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c)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Windows&gt;AI&gt;Navigation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d)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AI&gt;Navigation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Excelente, tu respuesta fue correcta; continúa con tu formación y desarrolla habilidades en videojuegos.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Respuesta incorrecta, te recomendamos revisar la unidad correspondiente a programación de inteligencia artificial.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Pregunta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Botón usado en la ventana de navegación para crear la malla de navegación.</w:t>
            </w:r>
          </w:p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Create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Baking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c)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Bake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d)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Static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Excelente, tu respuesta fue correcta; continua con tu formación y desarrolla habilidades en videojuegos.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Respuesta incorrecta, te recomendamos revisar la unidad correspondiente a programación de inteligencia artificial.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  <w:shd w:fill="ffd966" w:val="clea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FINAL ACTIVIDAD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cuando supera el 70% de respuestas correctas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¡Excelente! Te felicito, has superado la actividad.</w:t>
            </w:r>
          </w:p>
          <w:p w:rsidR="00000000" w:rsidDel="00000000" w:rsidP="00000000" w:rsidRDefault="00000000" w:rsidRPr="00000000" w14:paraId="000000DF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76" w:lineRule="auto"/>
              <w:rPr>
                <w:rFonts w:ascii="Calibri" w:cs="Calibri" w:eastAsia="Calibri" w:hAnsi="Calibri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 tenido algunas respuestas incorrectas, ¡debe estudiar más!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b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cuando el porcentaje de respuestas correctas es inferior al 70%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 recomendamos volver a revisar el componente formativo e intentar nuevamente la actividad didáctica.</w:t>
            </w:r>
          </w:p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3090"/>
        <w:gridCol w:w="3420"/>
        <w:tblGridChange w:id="0">
          <w:tblGrid>
            <w:gridCol w:w="3465"/>
            <w:gridCol w:w="3090"/>
            <w:gridCol w:w="3420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gridSpan w:val="3"/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CONTROL DE REVISIÓN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Responsable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Fecha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Revisión de Estilo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José Gabriel Ortiz Abella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30-10-2022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Revisión Asesor metodológico 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Silvia Milena Sequeda C.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28/10/2022</w:t>
            </w:r>
          </w:p>
        </w:tc>
      </w:tr>
    </w:tbl>
    <w:p w:rsidR="00000000" w:rsidDel="00000000" w:rsidP="00000000" w:rsidRDefault="00000000" w:rsidRPr="00000000" w14:paraId="000000F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-914396</wp:posOffset>
          </wp:positionH>
          <wp:positionV relativeFrom="paragraph">
            <wp:posOffset>-457196</wp:posOffset>
          </wp:positionV>
          <wp:extent cx="10128885" cy="1390650"/>
          <wp:effectExtent b="0" l="0" r="0" t="0"/>
          <wp:wrapSquare wrapText="bothSides" distB="0" distT="0" distL="114300" distR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67400" cy="1445489"/>
              <wp:effectExtent b="0" l="0" r="0" t="0"/>
              <wp:wrapSquare wrapText="bothSides" distB="45720" distT="45720" distL="114300" distR="114300"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67400" cy="1445489"/>
              <wp:effectExtent b="0" l="0" r="0" t="0"/>
              <wp:wrapSquare wrapText="bothSides" distB="45720" distT="45720" distL="114300" distR="114300"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144548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cs="Noto Sans" w:eastAsia="Noto Sans" w:hAnsi="Noto San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a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f4b083" w:space="0" w:sz="12" w:val="single"/>
        </w:tcBorders>
      </w:tcPr>
    </w:tblStylePr>
    <w:tblStylePr w:type="lastRow">
      <w:rPr>
        <w:b w:val="1"/>
      </w:rPr>
      <w:tblPr/>
      <w:tcPr>
        <w:tcBorders>
          <w:top w:color="f4b083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0" w:customStyle="1"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b w:val="1"/>
      </w:rPr>
      <w:tblPr/>
      <w:tcPr>
        <w:tcBorders>
          <w:bottom w:color="f4b083" w:space="0" w:sz="12" w:val="single"/>
        </w:tcBorders>
      </w:tcPr>
    </w:tblStylePr>
    <w:tblStylePr w:type="lastRow">
      <w:rPr>
        <w:b w:val="1"/>
      </w:rPr>
      <w:tblPr/>
      <w:tcPr>
        <w:tcBorders>
          <w:top w:color="f4b083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2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iBsIp1TEuTelXIgABdf0cFcSw==">AMUW2mXOxIRzPKowPSfATsNDRUEk4z1cgLfiH1hfFKOztZEPjidLAxLkD+40xg9ClCPG1wkAAgP5T3Glbho+VL3lhbKpMwaiJ1P1fujeRykVjLLGq8MmwH0ZKH1ODie7U9/3fwMOqTIk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A188FF6-387C-4592-BD6F-6DCD1B440358}"/>
</file>

<file path=customXML/itemProps3.xml><?xml version="1.0" encoding="utf-8"?>
<ds:datastoreItem xmlns:ds="http://schemas.openxmlformats.org/officeDocument/2006/customXml" ds:itemID="{F1ECB122-1A20-4DE0-B01F-D1387833FDF2}"/>
</file>

<file path=customXML/itemProps4.xml><?xml version="1.0" encoding="utf-8"?>
<ds:datastoreItem xmlns:ds="http://schemas.openxmlformats.org/officeDocument/2006/customXml" ds:itemID="{96128251-AC2E-4250-82C2-9B2BF24D0501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jjpardo</dc:creator>
  <dcterms:created xsi:type="dcterms:W3CDTF">2022-10-10T03:23:00Z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7385300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