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PROCESO CONSTRUCCIÓN DE RECURSOS EDUCATIVOS DIGITALES</w:t>
      </w:r>
    </w:p>
    <w:p w14:paraId="00000002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FF0000"/>
        </w:rPr>
      </w:pPr>
      <w:r w:rsidRPr="00BE36E2">
        <w:rPr>
          <w:rFonts w:ascii="Arial" w:eastAsia="Arial" w:hAnsi="Arial" w:cs="Arial"/>
          <w:b/>
          <w:color w:val="000000"/>
        </w:rPr>
        <w:t>FORMATO INFORMACIÓN DEL PROGRAMA</w:t>
      </w:r>
    </w:p>
    <w:p w14:paraId="00000003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</w:p>
    <w:p w14:paraId="00000004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</w:p>
    <w:p w14:paraId="00000005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</w:p>
    <w:p w14:paraId="00000006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 w:rsidRPr="00BE36E2">
        <w:rPr>
          <w:rFonts w:ascii="Arial" w:eastAsia="Arial" w:hAnsi="Arial" w:cs="Arial"/>
          <w:b/>
          <w:color w:val="000000"/>
        </w:rPr>
        <w:t>PRESENTACIÓN</w:t>
      </w:r>
    </w:p>
    <w:p w14:paraId="00000007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7F7F7F"/>
        </w:rPr>
      </w:pPr>
      <w:bookmarkStart w:id="1" w:name="_heading=h.30j0zll" w:colFirst="0" w:colLast="0"/>
      <w:bookmarkEnd w:id="1"/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F53DC" w:rsidRPr="00BE36E2" w14:paraId="57A2773B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GUI</w:t>
            </w:r>
            <w:r w:rsidRPr="00BE36E2">
              <w:rPr>
                <w:rFonts w:ascii="Arial" w:eastAsia="Arial" w:hAnsi="Arial" w:cs="Arial"/>
                <w:b/>
              </w:rPr>
              <w:t>O</w:t>
            </w:r>
            <w:r w:rsidRPr="00BE36E2">
              <w:rPr>
                <w:rFonts w:ascii="Arial" w:eastAsia="Arial" w:hAnsi="Arial" w:cs="Arial"/>
                <w:b/>
                <w:color w:val="000000"/>
              </w:rPr>
              <w:t xml:space="preserve">N LITERARIO </w:t>
            </w:r>
          </w:p>
        </w:tc>
      </w:tr>
      <w:tr w:rsidR="00FF53DC" w:rsidRPr="00BE36E2" w14:paraId="7A77DB22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00000B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-815875724"/>
              </w:sdtPr>
              <w:sdtEndPr/>
              <w:sdtContent>
                <w:commentRangeStart w:id="2"/>
              </w:sdtContent>
            </w:sdt>
            <w:r w:rsidRPr="00BE36E2"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6BCD893B" wp14:editId="47169D4F">
                  <wp:extent cx="5990590" cy="1685290"/>
                  <wp:effectExtent l="0" t="0" r="0" b="0"/>
                  <wp:docPr id="9" name="image2.png" descr="Interfaz de usuario gráfica, Aplicación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nterfaz de usuario gráfica, Aplicación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0" cy="1685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Pr="00BE36E2">
              <w:commentReference w:id="2"/>
            </w:r>
          </w:p>
          <w:p w14:paraId="0000000C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00000D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F7F7F"/>
        </w:rPr>
      </w:pPr>
    </w:p>
    <w:p w14:paraId="0000000E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0F" w14:textId="3BEC1AD1" w:rsidR="00FF53DC" w:rsidRPr="00BE36E2" w:rsidRDefault="00106B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 xml:space="preserve">Nombre del programa: </w:t>
      </w:r>
      <w:r w:rsidRPr="00BE36E2">
        <w:rPr>
          <w:rFonts w:ascii="Arial" w:eastAsia="Arial" w:hAnsi="Arial" w:cs="Arial"/>
        </w:rPr>
        <w:t>c</w:t>
      </w:r>
      <w:r w:rsidRPr="00BE36E2">
        <w:rPr>
          <w:rFonts w:ascii="Arial" w:eastAsia="Arial" w:hAnsi="Arial" w:cs="Arial"/>
          <w:color w:val="000000"/>
        </w:rPr>
        <w:t xml:space="preserve">oordinación de </w:t>
      </w:r>
      <w:r w:rsidRPr="00BE36E2">
        <w:rPr>
          <w:rFonts w:ascii="Arial" w:eastAsia="Arial" w:hAnsi="Arial" w:cs="Arial"/>
        </w:rPr>
        <w:t>p</w:t>
      </w:r>
      <w:r w:rsidRPr="00BE36E2">
        <w:rPr>
          <w:rFonts w:ascii="Arial" w:eastAsia="Arial" w:hAnsi="Arial" w:cs="Arial"/>
          <w:color w:val="000000"/>
        </w:rPr>
        <w:t xml:space="preserve">rocesos </w:t>
      </w:r>
      <w:r w:rsidRPr="00BE36E2">
        <w:rPr>
          <w:rFonts w:ascii="Arial" w:eastAsia="Arial" w:hAnsi="Arial" w:cs="Arial"/>
        </w:rPr>
        <w:t>l</w:t>
      </w:r>
      <w:r w:rsidRPr="00BE36E2">
        <w:rPr>
          <w:rFonts w:ascii="Arial" w:eastAsia="Arial" w:hAnsi="Arial" w:cs="Arial"/>
          <w:color w:val="000000"/>
        </w:rPr>
        <w:t xml:space="preserve">ogísticos </w:t>
      </w:r>
    </w:p>
    <w:p w14:paraId="00000010" w14:textId="77777777" w:rsidR="00FF53DC" w:rsidRPr="00BE36E2" w:rsidRDefault="00106B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Código: 121523</w:t>
      </w:r>
    </w:p>
    <w:p w14:paraId="00000011" w14:textId="77777777" w:rsidR="00FF53DC" w:rsidRPr="00BE36E2" w:rsidRDefault="00106B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gramStart"/>
      <w:r w:rsidRPr="00BE36E2">
        <w:rPr>
          <w:rFonts w:ascii="Arial" w:eastAsia="Arial" w:hAnsi="Arial" w:cs="Arial"/>
          <w:color w:val="000000"/>
        </w:rPr>
        <w:t>Total</w:t>
      </w:r>
      <w:proofErr w:type="gramEnd"/>
      <w:r w:rsidRPr="00BE36E2">
        <w:rPr>
          <w:rFonts w:ascii="Arial" w:eastAsia="Arial" w:hAnsi="Arial" w:cs="Arial"/>
          <w:color w:val="000000"/>
        </w:rPr>
        <w:t xml:space="preserve"> horas: 3984</w:t>
      </w:r>
    </w:p>
    <w:p w14:paraId="00000012" w14:textId="77777777" w:rsidR="00FF53DC" w:rsidRPr="00BE36E2" w:rsidRDefault="00106B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  <w:r w:rsidRPr="00BE36E2">
        <w:rPr>
          <w:rFonts w:ascii="Arial" w:eastAsia="Arial" w:hAnsi="Arial" w:cs="Arial"/>
          <w:color w:val="000000"/>
        </w:rPr>
        <w:t xml:space="preserve">Duración en meses: 27 </w:t>
      </w:r>
      <w:r w:rsidRPr="00BE36E2">
        <w:rPr>
          <w:rFonts w:ascii="Arial" w:eastAsia="Arial" w:hAnsi="Arial" w:cs="Arial"/>
          <w:color w:val="000000"/>
        </w:rPr>
        <w:t>meses</w:t>
      </w:r>
    </w:p>
    <w:p w14:paraId="00000013" w14:textId="77777777" w:rsidR="00FF53DC" w:rsidRPr="00BE36E2" w:rsidRDefault="00106B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Modalidad: Virtual</w:t>
      </w:r>
    </w:p>
    <w:p w14:paraId="00000014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B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C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JUSTIFICACIÓN DEL PROGRAMA</w:t>
      </w:r>
    </w:p>
    <w:p w14:paraId="0000001D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1E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 xml:space="preserve">Las empresas interpretan la globalización de la economía, los mercados sin fronteras y la apertura económica como fenómenos económicos a escala mundial que ofrecen una oportunidad para </w:t>
      </w:r>
      <w:r w:rsidRPr="00BE36E2">
        <w:rPr>
          <w:rFonts w:ascii="Arial" w:eastAsia="Arial" w:hAnsi="Arial" w:cs="Arial"/>
          <w:color w:val="000000"/>
        </w:rPr>
        <w:t>dinamizar los mercados entre países y su éxito se relaciona con el alto desempeño logístico, que busca satisfacer las necesidades de las partes interesadas, en el momento oportuno, con la calidad esperada y costos óptimos. Colombia no se queda atrás en est</w:t>
      </w:r>
      <w:r w:rsidRPr="00BE36E2">
        <w:rPr>
          <w:rFonts w:ascii="Arial" w:eastAsia="Arial" w:hAnsi="Arial" w:cs="Arial"/>
          <w:color w:val="000000"/>
        </w:rPr>
        <w:t>a realidad y se hace evidente la necesidad de enfrentar esos desafíos, que, ante las exigencias comerciales de un mercado globalizado, hace necesario cualificar capital humano en logística que apropie modelos dinámicos e integradores, con el fin de optimiz</w:t>
      </w:r>
      <w:r w:rsidRPr="00BE36E2">
        <w:rPr>
          <w:rFonts w:ascii="Arial" w:eastAsia="Arial" w:hAnsi="Arial" w:cs="Arial"/>
          <w:color w:val="000000"/>
        </w:rPr>
        <w:t>ar los procesos logísticos.</w:t>
      </w:r>
    </w:p>
    <w:p w14:paraId="0000001F" w14:textId="19E6EAC5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Con esa formación se espera apoyar ese crecimiento y la dinámica del mercado, formando tecnólogos que asuman esos retos expuestos y otros de los retos logísticos que encara el país como la ampliación de infraestructura y la efic</w:t>
      </w:r>
      <w:r w:rsidRPr="00BE36E2">
        <w:rPr>
          <w:rFonts w:ascii="Arial" w:eastAsia="Arial" w:hAnsi="Arial" w:cs="Arial"/>
          <w:color w:val="000000"/>
        </w:rPr>
        <w:t>iencia logística. Frente a ese desafío el Servicio Nacional de Aprendizaje dispone el programa de formación</w:t>
      </w:r>
      <w:r w:rsidR="00BE36E2">
        <w:rPr>
          <w:rFonts w:ascii="Arial" w:eastAsia="Arial" w:hAnsi="Arial" w:cs="Arial"/>
          <w:color w:val="000000"/>
        </w:rPr>
        <w:t xml:space="preserve"> tecnológico:</w:t>
      </w:r>
      <w:r w:rsidRPr="00BE36E2">
        <w:rPr>
          <w:rFonts w:ascii="Arial" w:eastAsia="Arial" w:hAnsi="Arial" w:cs="Arial"/>
          <w:color w:val="000000"/>
        </w:rPr>
        <w:t xml:space="preserve"> </w:t>
      </w:r>
      <w:r w:rsidR="00BE36E2" w:rsidRPr="00FE2D2F">
        <w:rPr>
          <w:rFonts w:ascii="Arial" w:eastAsia="Arial" w:hAnsi="Arial" w:cs="Arial"/>
          <w:b/>
          <w:bCs/>
          <w:color w:val="000000"/>
        </w:rPr>
        <w:t>C</w:t>
      </w:r>
      <w:r w:rsidRPr="00BE36E2">
        <w:rPr>
          <w:rFonts w:ascii="Arial" w:eastAsia="Arial" w:hAnsi="Arial" w:cs="Arial"/>
          <w:b/>
          <w:bCs/>
          <w:color w:val="000000"/>
        </w:rPr>
        <w:t xml:space="preserve">oordinación de </w:t>
      </w:r>
      <w:r w:rsidRPr="00BE36E2">
        <w:rPr>
          <w:rFonts w:ascii="Arial" w:eastAsia="Arial" w:hAnsi="Arial" w:cs="Arial"/>
          <w:b/>
          <w:bCs/>
        </w:rPr>
        <w:t>p</w:t>
      </w:r>
      <w:r w:rsidRPr="00BE36E2">
        <w:rPr>
          <w:rFonts w:ascii="Arial" w:eastAsia="Arial" w:hAnsi="Arial" w:cs="Arial"/>
          <w:b/>
          <w:bCs/>
          <w:color w:val="000000"/>
        </w:rPr>
        <w:t xml:space="preserve">rocesos </w:t>
      </w:r>
      <w:r w:rsidRPr="00BE36E2">
        <w:rPr>
          <w:rFonts w:ascii="Arial" w:eastAsia="Arial" w:hAnsi="Arial" w:cs="Arial"/>
          <w:b/>
          <w:bCs/>
        </w:rPr>
        <w:t>l</w:t>
      </w:r>
      <w:r w:rsidRPr="00BE36E2">
        <w:rPr>
          <w:rFonts w:ascii="Arial" w:eastAsia="Arial" w:hAnsi="Arial" w:cs="Arial"/>
          <w:b/>
          <w:bCs/>
          <w:color w:val="000000"/>
        </w:rPr>
        <w:t>ogísticos</w:t>
      </w:r>
      <w:r w:rsidRPr="00BE36E2">
        <w:rPr>
          <w:rFonts w:ascii="Arial" w:eastAsia="Arial" w:hAnsi="Arial" w:cs="Arial"/>
          <w:color w:val="000000"/>
        </w:rPr>
        <w:t xml:space="preserve"> para dar respuesta a las expectativas del sector educativo y productivo del país, adaptando las ten</w:t>
      </w:r>
      <w:r w:rsidRPr="00BE36E2">
        <w:rPr>
          <w:rFonts w:ascii="Arial" w:eastAsia="Arial" w:hAnsi="Arial" w:cs="Arial"/>
          <w:color w:val="000000"/>
        </w:rPr>
        <w:t>dencias logísticas y tecnológicas actuales al proceso de formación, resaltando el enfoque de cadena de suministros, logística 4.0 e innovación en los procesos logísticos, que permitan la inmersión de los aprendices al contexto laboral y productivo del país</w:t>
      </w:r>
      <w:r w:rsidRPr="00BE36E2">
        <w:rPr>
          <w:rFonts w:ascii="Arial" w:eastAsia="Arial" w:hAnsi="Arial" w:cs="Arial"/>
          <w:color w:val="000000"/>
        </w:rPr>
        <w:t xml:space="preserve"> con el propósito de impactar la competitividad de las empresas del sector de la logística en Colombia.</w:t>
      </w:r>
    </w:p>
    <w:p w14:paraId="00000020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21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COMPETENCIAS A DESARROLLAR</w:t>
      </w:r>
    </w:p>
    <w:p w14:paraId="00000022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b"/>
        <w:tblW w:w="9630" w:type="dxa"/>
        <w:tblInd w:w="135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000" w:firstRow="0" w:lastRow="0" w:firstColumn="0" w:lastColumn="0" w:noHBand="0" w:noVBand="0"/>
      </w:tblPr>
      <w:tblGrid>
        <w:gridCol w:w="7793"/>
        <w:gridCol w:w="1837"/>
      </w:tblGrid>
      <w:tr w:rsidR="00FF53DC" w:rsidRPr="00BE36E2" w14:paraId="631E9EC9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00002B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 xml:space="preserve">Nombre de la </w:t>
            </w:r>
            <w:r w:rsidRPr="00BE36E2">
              <w:rPr>
                <w:rFonts w:ascii="Arial" w:eastAsia="Arial" w:hAnsi="Arial" w:cs="Arial"/>
                <w:b/>
              </w:rPr>
              <w:t>n</w:t>
            </w:r>
            <w:r w:rsidRPr="00BE36E2">
              <w:rPr>
                <w:rFonts w:ascii="Arial" w:eastAsia="Arial" w:hAnsi="Arial" w:cs="Arial"/>
                <w:b/>
                <w:color w:val="000000"/>
              </w:rPr>
              <w:t xml:space="preserve">orma de </w:t>
            </w:r>
            <w:r w:rsidRPr="00BE36E2">
              <w:rPr>
                <w:rFonts w:ascii="Arial" w:eastAsia="Arial" w:hAnsi="Arial" w:cs="Arial"/>
                <w:b/>
              </w:rPr>
              <w:t>c</w:t>
            </w:r>
            <w:r w:rsidRPr="00BE36E2">
              <w:rPr>
                <w:rFonts w:ascii="Arial" w:eastAsia="Arial" w:hAnsi="Arial" w:cs="Arial"/>
                <w:b/>
                <w:color w:val="000000"/>
              </w:rPr>
              <w:t xml:space="preserve">ompetencia </w:t>
            </w:r>
            <w:r w:rsidRPr="00BE36E2">
              <w:rPr>
                <w:rFonts w:ascii="Arial" w:eastAsia="Arial" w:hAnsi="Arial" w:cs="Arial"/>
                <w:b/>
              </w:rPr>
              <w:t>l</w:t>
            </w:r>
            <w:r w:rsidRPr="00BE36E2">
              <w:rPr>
                <w:rFonts w:ascii="Arial" w:eastAsia="Arial" w:hAnsi="Arial" w:cs="Arial"/>
                <w:b/>
                <w:color w:val="000000"/>
              </w:rPr>
              <w:t>aboral / Unidad de competencia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00002C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Código NCL / UC</w:t>
            </w:r>
          </w:p>
        </w:tc>
      </w:tr>
      <w:tr w:rsidR="00FF53DC" w:rsidRPr="00BE36E2" w14:paraId="28BE738A" w14:textId="77777777">
        <w:trPr>
          <w:trHeight w:val="25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2D" w14:textId="5FD5065E" w:rsidR="00FF53DC" w:rsidRPr="00BE36E2" w:rsidRDefault="003C5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3C5D59">
              <w:rPr>
                <w:rFonts w:ascii="Arial" w:eastAsia="Arial" w:hAnsi="Arial" w:cs="Arial"/>
                <w:color w:val="000000"/>
              </w:rPr>
              <w:t>Atender clientes de acuerdo con procedimiento de servicio y normativa.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2E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210601020</w:t>
            </w:r>
          </w:p>
        </w:tc>
      </w:tr>
      <w:tr w:rsidR="00FF53DC" w:rsidRPr="00BE36E2" w14:paraId="2D634BE7" w14:textId="77777777">
        <w:trPr>
          <w:trHeight w:val="25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2F" w14:textId="36475690" w:rsidR="00FF53DC" w:rsidRPr="00BE36E2" w:rsidRDefault="003C5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3C5D59">
              <w:rPr>
                <w:rFonts w:ascii="Arial" w:eastAsia="Arial" w:hAnsi="Arial" w:cs="Arial"/>
                <w:color w:val="000000"/>
              </w:rPr>
              <w:t>Calcular costos de operación de acuerdo con métodos.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0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210303025</w:t>
            </w:r>
          </w:p>
        </w:tc>
      </w:tr>
      <w:tr w:rsidR="00FF53DC" w:rsidRPr="00BE36E2" w14:paraId="55639D6E" w14:textId="77777777">
        <w:trPr>
          <w:trHeight w:val="25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1" w14:textId="79465F0D" w:rsidR="00FF53DC" w:rsidRPr="00BE36E2" w:rsidRDefault="008A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A13D0">
              <w:rPr>
                <w:rFonts w:ascii="Arial" w:eastAsia="Arial" w:hAnsi="Arial" w:cs="Arial"/>
                <w:color w:val="000000"/>
              </w:rPr>
              <w:t>Controlar los inventarios según indicadores y métodos.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2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210101062</w:t>
            </w:r>
          </w:p>
        </w:tc>
      </w:tr>
      <w:tr w:rsidR="00FF53DC" w:rsidRPr="00BE36E2" w14:paraId="699B6DDC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3" w14:textId="436BCA07" w:rsidR="00FF53DC" w:rsidRPr="00BE36E2" w:rsidRDefault="008A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A13D0">
              <w:rPr>
                <w:rFonts w:ascii="Arial" w:eastAsia="Arial" w:hAnsi="Arial" w:cs="Arial"/>
                <w:color w:val="000000"/>
              </w:rPr>
              <w:t>Controlar los procesos de importación y exportación según normativa y acuerdo entre las partes.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4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210101029</w:t>
            </w:r>
          </w:p>
        </w:tc>
      </w:tr>
      <w:tr w:rsidR="00FF53DC" w:rsidRPr="00BE36E2" w14:paraId="0AD27627" w14:textId="77777777">
        <w:trPr>
          <w:trHeight w:val="270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5" w14:textId="2D82035E" w:rsidR="00FF53DC" w:rsidRPr="00BE36E2" w:rsidRDefault="008A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A13D0">
              <w:rPr>
                <w:rFonts w:ascii="Arial" w:eastAsia="Arial" w:hAnsi="Arial" w:cs="Arial"/>
                <w:color w:val="000000"/>
              </w:rPr>
              <w:t>Coordinar el flujo de mercancía según el plan de operación y procedimientos.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6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210101075</w:t>
            </w:r>
          </w:p>
        </w:tc>
      </w:tr>
      <w:tr w:rsidR="00FF53DC" w:rsidRPr="00BE36E2" w14:paraId="470B78DB" w14:textId="77777777">
        <w:trPr>
          <w:trHeight w:val="270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7" w14:textId="3D2E159F" w:rsidR="00FF53DC" w:rsidRPr="00BE36E2" w:rsidRDefault="008A1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8A13D0">
              <w:rPr>
                <w:rFonts w:ascii="Arial" w:eastAsia="Arial" w:hAnsi="Arial" w:cs="Arial"/>
                <w:color w:val="000000"/>
              </w:rPr>
              <w:t>Dirigir el talento humano de acuerdo con normativa.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8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210201052</w:t>
            </w:r>
          </w:p>
        </w:tc>
      </w:tr>
      <w:tr w:rsidR="00FF53DC" w:rsidRPr="00BE36E2" w14:paraId="1E28365D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9" w14:textId="5A84F170" w:rsidR="00FF53DC" w:rsidRPr="00BE36E2" w:rsidRDefault="00645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645965">
              <w:rPr>
                <w:rFonts w:ascii="Arial" w:eastAsia="Arial" w:hAnsi="Arial" w:cs="Arial"/>
                <w:color w:val="000000"/>
              </w:rPr>
              <w:t>Diseñar áreas de almacenamiento según estrategias de logística y sistemas de almacenaje.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A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210101069</w:t>
            </w:r>
          </w:p>
        </w:tc>
      </w:tr>
      <w:tr w:rsidR="00FF53DC" w:rsidRPr="00BE36E2" w14:paraId="07BA483C" w14:textId="77777777">
        <w:trPr>
          <w:trHeight w:val="270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B" w14:textId="022D21DD" w:rsidR="00FF53DC" w:rsidRPr="00BE36E2" w:rsidRDefault="0029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291E2F">
              <w:rPr>
                <w:rFonts w:ascii="Arial" w:eastAsia="Arial" w:hAnsi="Arial" w:cs="Arial"/>
                <w:color w:val="000000"/>
              </w:rPr>
              <w:t>Elaborar el plan de compras según métodos de programación y presupuesto.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C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210101071</w:t>
            </w:r>
          </w:p>
        </w:tc>
      </w:tr>
      <w:tr w:rsidR="00FF53DC" w:rsidRPr="00BE36E2" w14:paraId="1071CCFD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D" w14:textId="62EC9328" w:rsidR="00FF53DC" w:rsidRPr="00BE36E2" w:rsidRDefault="00291E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291E2F">
              <w:rPr>
                <w:rFonts w:ascii="Arial" w:eastAsia="Arial" w:hAnsi="Arial" w:cs="Arial"/>
              </w:rPr>
              <w:t>Planear integración de cadenas de suministro según normativa y modelos de gestión.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E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210101067</w:t>
            </w:r>
          </w:p>
        </w:tc>
      </w:tr>
      <w:tr w:rsidR="00FF53DC" w:rsidRPr="00BE36E2" w14:paraId="78D1B94F" w14:textId="77777777">
        <w:trPr>
          <w:trHeight w:val="46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3F" w14:textId="14549AF8" w:rsidR="00FF53DC" w:rsidRPr="00BE36E2" w:rsidRDefault="0034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342BEE">
              <w:rPr>
                <w:rFonts w:ascii="Arial" w:eastAsia="Arial" w:hAnsi="Arial" w:cs="Arial"/>
                <w:color w:val="000000"/>
              </w:rPr>
              <w:t>Proyectar los requerimientos de los clientes según métodos de compras y pronóstico.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0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210101051</w:t>
            </w:r>
          </w:p>
        </w:tc>
      </w:tr>
      <w:tr w:rsidR="00FF53DC" w:rsidRPr="00BE36E2" w14:paraId="20BEFCC5" w14:textId="77777777">
        <w:trPr>
          <w:trHeight w:val="25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1" w14:textId="5A6F41C9" w:rsidR="00FF53DC" w:rsidRPr="00BE36E2" w:rsidRDefault="0034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342BEE">
              <w:rPr>
                <w:rFonts w:ascii="Arial" w:eastAsia="Arial" w:hAnsi="Arial" w:cs="Arial"/>
                <w:color w:val="000000"/>
              </w:rPr>
              <w:t>Supervisar la prestación de los procesos de negocio según modelo de gestión.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2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260102013</w:t>
            </w:r>
          </w:p>
        </w:tc>
      </w:tr>
      <w:tr w:rsidR="00FF53DC" w:rsidRPr="00BE36E2" w14:paraId="59F3C8CA" w14:textId="77777777">
        <w:trPr>
          <w:trHeight w:val="46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3" w14:textId="54D09B4A" w:rsidR="00FF53DC" w:rsidRPr="00BE36E2" w:rsidRDefault="00633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633508">
              <w:rPr>
                <w:rFonts w:ascii="Arial" w:eastAsia="Arial" w:hAnsi="Arial" w:cs="Arial"/>
                <w:color w:val="000000"/>
              </w:rPr>
              <w:t>Aplicación de conocimientos de las ciencias naturales de acuerdo con situaciones del contexto productivo y social.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4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220201501</w:t>
            </w:r>
          </w:p>
        </w:tc>
      </w:tr>
      <w:tr w:rsidR="00FF53DC" w:rsidRPr="00BE36E2" w14:paraId="786AC233" w14:textId="77777777">
        <w:trPr>
          <w:trHeight w:val="67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5" w14:textId="3B218E4E" w:rsidR="00FF53DC" w:rsidRPr="00BE36E2" w:rsidRDefault="00510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5106D7">
              <w:rPr>
                <w:rFonts w:ascii="Arial" w:eastAsia="Arial" w:hAnsi="Arial" w:cs="Arial"/>
                <w:color w:val="000000"/>
              </w:rPr>
              <w:t>Aplicar prácticas de protección ambiental, seguridad y salud en el trabajo de acuerdo con las políticas organizacionales y la normatividad vigente.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6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220601501</w:t>
            </w:r>
          </w:p>
        </w:tc>
      </w:tr>
      <w:tr w:rsidR="00FF53DC" w:rsidRPr="00BE36E2" w14:paraId="32A9100B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7" w14:textId="08B93077" w:rsidR="00FF53DC" w:rsidRPr="00BE36E2" w:rsidRDefault="00510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5106D7">
              <w:rPr>
                <w:rFonts w:ascii="Arial" w:eastAsia="Arial" w:hAnsi="Arial" w:cs="Arial"/>
                <w:color w:val="000000"/>
              </w:rPr>
              <w:t>Desarrollar procesos de comunicación eficaces y efectivos, teniendo en cuenta situaciones de orden social, personal y productivo.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8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240201524</w:t>
            </w:r>
          </w:p>
        </w:tc>
      </w:tr>
      <w:tr w:rsidR="00FF53DC" w:rsidRPr="00BE36E2" w14:paraId="1AD95708" w14:textId="77777777">
        <w:trPr>
          <w:trHeight w:val="46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9" w14:textId="3E7E65C3" w:rsidR="00FF53DC" w:rsidRPr="00BE36E2" w:rsidRDefault="00510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5106D7">
              <w:rPr>
                <w:rFonts w:ascii="Arial" w:eastAsia="Arial" w:hAnsi="Arial" w:cs="Arial"/>
                <w:color w:val="000000"/>
              </w:rPr>
              <w:t>Ejercer derechos fundamentales del trabajo en el marco de la constitución política y los convenios internacionales.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A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210201501</w:t>
            </w:r>
          </w:p>
        </w:tc>
      </w:tr>
      <w:tr w:rsidR="00FF53DC" w:rsidRPr="00BE36E2" w14:paraId="1EEC8A00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B" w14:textId="48BAF3AB" w:rsidR="00FF53DC" w:rsidRPr="00BE36E2" w:rsidRDefault="00510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5106D7">
              <w:rPr>
                <w:rFonts w:ascii="Arial" w:eastAsia="Arial" w:hAnsi="Arial" w:cs="Arial"/>
                <w:color w:val="000000"/>
              </w:rPr>
              <w:t>Enrique Low Murtra-Interactuar en el contexto productivo y social de acuerdo con principios éticos para la construcción de una cultura de paz.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C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240201526</w:t>
            </w:r>
          </w:p>
        </w:tc>
      </w:tr>
      <w:tr w:rsidR="00FF53DC" w:rsidRPr="00BE36E2" w14:paraId="7376EF66" w14:textId="77777777">
        <w:trPr>
          <w:trHeight w:val="67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D" w14:textId="6D89D1B0" w:rsidR="00FF53DC" w:rsidRPr="00BE36E2" w:rsidRDefault="00AC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AC3A29">
              <w:rPr>
                <w:rFonts w:ascii="Arial" w:eastAsia="Arial" w:hAnsi="Arial" w:cs="Arial"/>
                <w:color w:val="000000"/>
              </w:rPr>
              <w:t>Generar hábitos saludables de vida mediante la aplicación de programas de actividad física en los contextos productivos y sociales.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E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230101507</w:t>
            </w:r>
          </w:p>
        </w:tc>
      </w:tr>
      <w:tr w:rsidR="00FF53DC" w:rsidRPr="00BE36E2" w14:paraId="34CB0E3F" w14:textId="77777777">
        <w:trPr>
          <w:trHeight w:val="450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F" w14:textId="5EAC759D" w:rsidR="00FF53DC" w:rsidRPr="00BE36E2" w:rsidRDefault="00AC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AC3A29">
              <w:rPr>
                <w:rFonts w:ascii="Arial" w:eastAsia="Arial" w:hAnsi="Arial" w:cs="Arial"/>
                <w:color w:val="000000"/>
              </w:rPr>
              <w:t>Gestionar procesos propios de la cultura emprendedora y empresarial de acuerdo con el perfil personal y los requerimientos de los contextos productivo y social.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0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240201529</w:t>
            </w:r>
          </w:p>
        </w:tc>
      </w:tr>
      <w:tr w:rsidR="00FF53DC" w:rsidRPr="00BE36E2" w14:paraId="6CEE59D4" w14:textId="77777777">
        <w:trPr>
          <w:trHeight w:val="67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1" w14:textId="074C3EE6" w:rsidR="00FF53DC" w:rsidRPr="00BE36E2" w:rsidRDefault="00AC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AC3A29">
              <w:rPr>
                <w:rFonts w:ascii="Arial" w:eastAsia="Arial" w:hAnsi="Arial" w:cs="Arial"/>
                <w:color w:val="000000"/>
              </w:rPr>
              <w:t>Interactuar en lengua inglesa de forma oral y escrita dentro de contextos sociales y laborales según los criterios establecidos por el Marco Común Europeo de referencia para las lenguas.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2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240202501</w:t>
            </w:r>
          </w:p>
        </w:tc>
      </w:tr>
      <w:tr w:rsidR="00FF53DC" w:rsidRPr="00BE36E2" w14:paraId="0EF91D25" w14:textId="77777777">
        <w:trPr>
          <w:trHeight w:val="25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3" w14:textId="38B81D3B" w:rsidR="00FF53DC" w:rsidRPr="00BE36E2" w:rsidRDefault="00B5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521DB">
              <w:rPr>
                <w:rFonts w:ascii="Arial" w:eastAsia="Arial" w:hAnsi="Arial" w:cs="Arial"/>
              </w:rPr>
              <w:t>Orientar investigación formativa según referentes técnicos.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4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240201064</w:t>
            </w:r>
          </w:p>
        </w:tc>
      </w:tr>
      <w:tr w:rsidR="00FF53DC" w:rsidRPr="00BE36E2" w14:paraId="05DFC320" w14:textId="77777777">
        <w:trPr>
          <w:trHeight w:val="46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5" w14:textId="2C166D21" w:rsidR="00FF53DC" w:rsidRPr="00BE36E2" w:rsidRDefault="00B5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521DB">
              <w:rPr>
                <w:rFonts w:ascii="Arial" w:eastAsia="Arial" w:hAnsi="Arial" w:cs="Arial"/>
                <w:color w:val="000000"/>
              </w:rPr>
              <w:t>Razonar cuantitativamente frente a situaciones susceptibles de ser abordadas de manera matemática en contextos laborales, sociales y personales.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6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240201528</w:t>
            </w:r>
          </w:p>
        </w:tc>
      </w:tr>
      <w:tr w:rsidR="00FF53DC" w:rsidRPr="00BE36E2" w14:paraId="744D5C51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7" w14:textId="5DD49815" w:rsidR="00FF53DC" w:rsidRPr="00BE36E2" w:rsidRDefault="00B521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521DB">
              <w:rPr>
                <w:rFonts w:ascii="Arial" w:eastAsia="Arial" w:hAnsi="Arial" w:cs="Arial"/>
                <w:color w:val="000000"/>
              </w:rPr>
              <w:t>Utilizar herramientas informáticas de acuerdo con las necesidades de manejo de información.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8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220501046</w:t>
            </w:r>
          </w:p>
        </w:tc>
      </w:tr>
      <w:tr w:rsidR="00FF53DC" w:rsidRPr="00BE36E2" w14:paraId="56DB8A62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9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 xml:space="preserve">Resultado de </w:t>
            </w:r>
            <w:r w:rsidRPr="00BE36E2">
              <w:rPr>
                <w:rFonts w:ascii="Arial" w:eastAsia="Arial" w:hAnsi="Arial" w:cs="Arial"/>
              </w:rPr>
              <w:t>a</w:t>
            </w:r>
            <w:r w:rsidRPr="00BE36E2">
              <w:rPr>
                <w:rFonts w:ascii="Arial" w:eastAsia="Arial" w:hAnsi="Arial" w:cs="Arial"/>
                <w:color w:val="000000"/>
              </w:rPr>
              <w:t>prendizaje de la</w:t>
            </w:r>
            <w:r w:rsidRPr="00BE36E2">
              <w:rPr>
                <w:rFonts w:ascii="Arial" w:eastAsia="Arial" w:hAnsi="Arial" w:cs="Arial"/>
              </w:rPr>
              <w:t xml:space="preserve"> i</w:t>
            </w:r>
            <w:r w:rsidRPr="00BE36E2">
              <w:rPr>
                <w:rFonts w:ascii="Arial" w:eastAsia="Arial" w:hAnsi="Arial" w:cs="Arial"/>
                <w:color w:val="000000"/>
              </w:rPr>
              <w:t>nducción.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A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240201530</w:t>
            </w:r>
          </w:p>
        </w:tc>
      </w:tr>
      <w:tr w:rsidR="00FF53DC" w:rsidRPr="00BE36E2" w14:paraId="3F58AE4A" w14:textId="77777777">
        <w:trPr>
          <w:trHeight w:val="435"/>
        </w:trPr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B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 xml:space="preserve">Resultados de </w:t>
            </w:r>
            <w:r w:rsidRPr="00BE36E2">
              <w:rPr>
                <w:rFonts w:ascii="Arial" w:eastAsia="Arial" w:hAnsi="Arial" w:cs="Arial"/>
              </w:rPr>
              <w:t>a</w:t>
            </w:r>
            <w:r w:rsidRPr="00BE36E2">
              <w:rPr>
                <w:rFonts w:ascii="Arial" w:eastAsia="Arial" w:hAnsi="Arial" w:cs="Arial"/>
                <w:color w:val="000000"/>
              </w:rPr>
              <w:t xml:space="preserve">prendizaje de la </w:t>
            </w:r>
            <w:r w:rsidRPr="00BE36E2">
              <w:rPr>
                <w:rFonts w:ascii="Arial" w:eastAsia="Arial" w:hAnsi="Arial" w:cs="Arial"/>
              </w:rPr>
              <w:t>e</w:t>
            </w:r>
            <w:r w:rsidRPr="00BE36E2">
              <w:rPr>
                <w:rFonts w:ascii="Arial" w:eastAsia="Arial" w:hAnsi="Arial" w:cs="Arial"/>
                <w:color w:val="000000"/>
              </w:rPr>
              <w:t xml:space="preserve">tapa </w:t>
            </w:r>
            <w:r w:rsidRPr="00BE36E2">
              <w:rPr>
                <w:rFonts w:ascii="Arial" w:eastAsia="Arial" w:hAnsi="Arial" w:cs="Arial"/>
              </w:rPr>
              <w:t>p</w:t>
            </w:r>
            <w:r w:rsidRPr="00BE36E2">
              <w:rPr>
                <w:rFonts w:ascii="Arial" w:eastAsia="Arial" w:hAnsi="Arial" w:cs="Arial"/>
                <w:color w:val="000000"/>
              </w:rPr>
              <w:t>ráctica.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C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bookmarkStart w:id="4" w:name="_heading=h.3znysh7" w:colFirst="0" w:colLast="0"/>
            <w:bookmarkEnd w:id="4"/>
            <w:r w:rsidRPr="00BE36E2">
              <w:rPr>
                <w:rFonts w:ascii="Arial" w:eastAsia="Arial" w:hAnsi="Arial" w:cs="Arial"/>
                <w:color w:val="000000"/>
              </w:rPr>
              <w:t>999999999</w:t>
            </w:r>
          </w:p>
        </w:tc>
      </w:tr>
    </w:tbl>
    <w:p w14:paraId="0000005D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p w14:paraId="0000005E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0000005F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PERFIL DE INGRESO</w:t>
      </w:r>
    </w:p>
    <w:p w14:paraId="00000060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00000061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 xml:space="preserve">Nivel académico adecuado para caracterizar al aspirante de acuerdo con el perfil de egreso: </w:t>
      </w:r>
    </w:p>
    <w:p w14:paraId="00000062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</w:rPr>
        <w:t>Secundaria</w:t>
      </w:r>
      <w:r w:rsidRPr="00BE36E2">
        <w:rPr>
          <w:rFonts w:ascii="Arial" w:eastAsia="Arial" w:hAnsi="Arial" w:cs="Arial"/>
          <w:color w:val="000000"/>
        </w:rPr>
        <w:t>, grado 11. Requiere certificación académica.</w:t>
      </w:r>
    </w:p>
    <w:p w14:paraId="00000063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No requiere formación para el trabajo y desarrollo humano.</w:t>
      </w:r>
    </w:p>
    <w:p w14:paraId="00000064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Edad mínima definida por ley: 16 años.</w:t>
      </w:r>
    </w:p>
    <w:p w14:paraId="00000065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</w:rPr>
        <w:t>Superar la prueba</w:t>
      </w:r>
      <w:r w:rsidRPr="00BE36E2">
        <w:rPr>
          <w:rFonts w:ascii="Arial" w:eastAsia="Arial" w:hAnsi="Arial" w:cs="Arial"/>
          <w:color w:val="000000"/>
        </w:rPr>
        <w:t xml:space="preserve"> de aptitud y conocimiento.</w:t>
      </w:r>
    </w:p>
    <w:p w14:paraId="00000066" w14:textId="5B91FE3C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 xml:space="preserve">Requisito adicional: </w:t>
      </w:r>
      <w:r w:rsidR="00B521DB">
        <w:rPr>
          <w:rFonts w:ascii="Arial" w:eastAsia="Arial" w:hAnsi="Arial" w:cs="Arial"/>
          <w:color w:val="000000"/>
        </w:rPr>
        <w:t>p</w:t>
      </w:r>
      <w:r w:rsidRPr="00BE36E2">
        <w:rPr>
          <w:rFonts w:ascii="Arial" w:eastAsia="Arial" w:hAnsi="Arial" w:cs="Arial"/>
          <w:color w:val="000000"/>
        </w:rPr>
        <w:t xml:space="preserve">resentar resultado de la prueba o examen de estado de la educación media </w:t>
      </w:r>
    </w:p>
    <w:p w14:paraId="00000067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No existe legislación que establezca restricciones de ingreso, a nivel de discapacidad física y cognitiva.</w:t>
      </w:r>
    </w:p>
    <w:p w14:paraId="00000068" w14:textId="77777777" w:rsidR="00FF53DC" w:rsidRPr="00BE36E2" w:rsidRDefault="00106B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3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Aspectos</w:t>
      </w:r>
      <w:r w:rsidRPr="00BE36E2">
        <w:rPr>
          <w:rFonts w:ascii="Arial" w:eastAsia="Arial" w:hAnsi="Arial" w:cs="Arial"/>
          <w:color w:val="000000"/>
        </w:rPr>
        <w:t xml:space="preserve"> actitudinales, motivacionales o de interés: responsabilidad, compromiso, honestidad, lealtad, iniciativa, cumplimiento, colaboración, comunicación asertiva, buenas relaciones interpersonales, capacidad de trabajo en equipo, capacidad para resolución de co</w:t>
      </w:r>
      <w:r w:rsidRPr="00BE36E2">
        <w:rPr>
          <w:rFonts w:ascii="Arial" w:eastAsia="Arial" w:hAnsi="Arial" w:cs="Arial"/>
          <w:color w:val="000000"/>
        </w:rPr>
        <w:t>nflictos, alta capacidad de adaptabilidad, capacidad de trabajo bajo presión, presentación personal acorde con sus funciones, capacidad de redacción de informes técnicos, organización para el manejo de información, seguimiento e interpretación de instrucci</w:t>
      </w:r>
      <w:r w:rsidRPr="00BE36E2">
        <w:rPr>
          <w:rFonts w:ascii="Arial" w:eastAsia="Arial" w:hAnsi="Arial" w:cs="Arial"/>
          <w:color w:val="000000"/>
        </w:rPr>
        <w:t>ones, liderazgo de equipos de trabajo</w:t>
      </w:r>
      <w:r w:rsidRPr="00BE36E2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69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</w:p>
    <w:p w14:paraId="0000006A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PERFIL DE EGRESO</w:t>
      </w:r>
    </w:p>
    <w:p w14:paraId="0000006B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0000006C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 xml:space="preserve">Los egresados del programa </w:t>
      </w:r>
      <w:r w:rsidRPr="00BE36E2">
        <w:rPr>
          <w:rFonts w:ascii="Arial" w:eastAsia="Arial" w:hAnsi="Arial" w:cs="Arial"/>
        </w:rPr>
        <w:t>contarán</w:t>
      </w:r>
      <w:r w:rsidRPr="00BE36E2">
        <w:rPr>
          <w:rFonts w:ascii="Arial" w:eastAsia="Arial" w:hAnsi="Arial" w:cs="Arial"/>
          <w:color w:val="000000"/>
        </w:rPr>
        <w:t xml:space="preserve"> con un amplio dominio de saberes relacionados con el comportamiento de los mercados y serán solucionadores creativos de problemas que enfrentan las empresas en el desarrollo de las operaciones logísticas a nivel nacional e internacional, capaces de gestio</w:t>
      </w:r>
      <w:r w:rsidRPr="00BE36E2">
        <w:rPr>
          <w:rFonts w:ascii="Arial" w:eastAsia="Arial" w:hAnsi="Arial" w:cs="Arial"/>
          <w:color w:val="000000"/>
        </w:rPr>
        <w:t>nar procesos y estrategias logísticas que permitan la sincronización de la cadena de abastecimiento, con habilidades en el uso de tecnologías de la información y comunicación como variable estratégica para la toma de decisiones, con conciencia ambiental, r</w:t>
      </w:r>
      <w:r w:rsidRPr="00BE36E2">
        <w:rPr>
          <w:rFonts w:ascii="Arial" w:eastAsia="Arial" w:hAnsi="Arial" w:cs="Arial"/>
          <w:color w:val="000000"/>
        </w:rPr>
        <w:t>esponsabilidad ética y social, garantizando una gestión dentro de la empresa.</w:t>
      </w:r>
    </w:p>
    <w:p w14:paraId="0000006D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El perfil general del egresado tendrá las siguientes habilidades: coordinan, asignan y supervisan las actividades de empleados que realizan funciones de despacho, recepción, alma</w:t>
      </w:r>
      <w:r w:rsidRPr="00BE36E2">
        <w:rPr>
          <w:rFonts w:ascii="Arial" w:eastAsia="Arial" w:hAnsi="Arial" w:cs="Arial"/>
          <w:color w:val="000000"/>
        </w:rPr>
        <w:t xml:space="preserve">cenamiento, distribución y mantenimiento de inventarios, materiales, repuestos y/o productos, tramite de compras y programación de itinerarios y personal; u operación de rampas del aeropuerto para el servicio vehicular y otras actividades. Están empleados </w:t>
      </w:r>
      <w:r w:rsidRPr="00BE36E2">
        <w:rPr>
          <w:rFonts w:ascii="Arial" w:eastAsia="Arial" w:hAnsi="Arial" w:cs="Arial"/>
          <w:color w:val="000000"/>
        </w:rPr>
        <w:t>por empresas del sector público o privado.</w:t>
      </w:r>
    </w:p>
    <w:p w14:paraId="0000006E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p w14:paraId="0000006F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ESTRATEGIA METODOLÓGICA</w:t>
      </w:r>
    </w:p>
    <w:p w14:paraId="00000070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71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Centrada en la construcción de autonomía para garantizar la calidad de la formación en el marco de la formación por competencias, el aprendizaje por proyectos y el uso de técnicas didácticas activas que estimulan el pensamiento para la resolución de proble</w:t>
      </w:r>
      <w:r w:rsidRPr="00BE36E2">
        <w:rPr>
          <w:rFonts w:ascii="Arial" w:eastAsia="Arial" w:hAnsi="Arial" w:cs="Arial"/>
          <w:color w:val="000000"/>
        </w:rPr>
        <w:t>mas simulados y reales; soportadas en la utilización de las tecnologías de la información y la comunicación, integradas, en ambientes virtuales de aprendizaje, que en todo caso recrean el contexto productivo y vinculan al aprendiz con la realidad cotidiana</w:t>
      </w:r>
      <w:r w:rsidRPr="00BE36E2">
        <w:rPr>
          <w:rFonts w:ascii="Arial" w:eastAsia="Arial" w:hAnsi="Arial" w:cs="Arial"/>
          <w:color w:val="000000"/>
        </w:rPr>
        <w:t xml:space="preserve"> y el desarrollo de las competencias. </w:t>
      </w:r>
    </w:p>
    <w:p w14:paraId="00000072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73" w14:textId="77777777" w:rsidR="00FF53DC" w:rsidRPr="00BE36E2" w:rsidRDefault="00106B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</w:t>
      </w:r>
      <w:r w:rsidRPr="00BE36E2">
        <w:rPr>
          <w:rFonts w:ascii="Arial" w:eastAsia="Arial" w:hAnsi="Arial" w:cs="Arial"/>
          <w:color w:val="000000"/>
        </w:rPr>
        <w:t>mación para la construcción de conocimiento:</w:t>
      </w:r>
    </w:p>
    <w:p w14:paraId="00000074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75" w14:textId="77777777" w:rsidR="00FF53DC" w:rsidRPr="00BE36E2" w:rsidRDefault="00106B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El instructor - Tutor</w:t>
      </w:r>
    </w:p>
    <w:p w14:paraId="00000076" w14:textId="77777777" w:rsidR="00FF53DC" w:rsidRPr="00BE36E2" w:rsidRDefault="00106B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El entorno</w:t>
      </w:r>
    </w:p>
    <w:p w14:paraId="00000077" w14:textId="77777777" w:rsidR="00FF53DC" w:rsidRPr="00BE36E2" w:rsidRDefault="00106B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las TIC</w:t>
      </w:r>
    </w:p>
    <w:p w14:paraId="00000078" w14:textId="77777777" w:rsidR="00FF53DC" w:rsidRPr="00BE36E2" w:rsidRDefault="00106B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</w:rPr>
      </w:pPr>
      <w:r w:rsidRPr="00BE36E2">
        <w:rPr>
          <w:rFonts w:ascii="Arial" w:eastAsia="Arial" w:hAnsi="Arial" w:cs="Arial"/>
          <w:color w:val="000000"/>
        </w:rPr>
        <w:t>El trabajo colaborativo</w:t>
      </w:r>
    </w:p>
    <w:p w14:paraId="00000079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</w:p>
    <w:p w14:paraId="0000007E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</w:p>
    <w:p w14:paraId="0000007F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CONTROL DEL DOCUMENTO</w:t>
      </w:r>
    </w:p>
    <w:p w14:paraId="00000080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ac"/>
        <w:tblW w:w="9773" w:type="dxa"/>
        <w:tblInd w:w="-142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600" w:firstRow="0" w:lastRow="0" w:firstColumn="0" w:lastColumn="0" w:noHBand="1" w:noVBand="1"/>
      </w:tblPr>
      <w:tblGrid>
        <w:gridCol w:w="1372"/>
        <w:gridCol w:w="2456"/>
        <w:gridCol w:w="1752"/>
        <w:gridCol w:w="2642"/>
        <w:gridCol w:w="1551"/>
      </w:tblGrid>
      <w:tr w:rsidR="00FF53DC" w:rsidRPr="00BE36E2" w14:paraId="48231ACF" w14:textId="77777777" w:rsidTr="000C30C1">
        <w:tc>
          <w:tcPr>
            <w:tcW w:w="13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000081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2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3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Cargo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4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Dependencia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5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C707B2" w:rsidRPr="00BE36E2" w14:paraId="05C84D72" w14:textId="77777777" w:rsidTr="000C30C1">
        <w:trPr>
          <w:trHeight w:val="255"/>
        </w:trPr>
        <w:tc>
          <w:tcPr>
            <w:tcW w:w="13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0000086" w14:textId="77777777" w:rsidR="00C707B2" w:rsidRPr="00BE36E2" w:rsidRDefault="00C7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Autor (es)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7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Nelly Parra Guarín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8" w14:textId="269C7278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 xml:space="preserve">Experto </w:t>
            </w:r>
            <w:r w:rsidR="006142B0" w:rsidRPr="00BE36E2">
              <w:rPr>
                <w:rFonts w:ascii="Arial" w:eastAsia="Arial" w:hAnsi="Arial" w:cs="Arial"/>
                <w:color w:val="000000"/>
              </w:rPr>
              <w:t>Temático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9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Regional Distrito Capital - Centro de Gestión Industrial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A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Junio de 2021</w:t>
            </w:r>
          </w:p>
        </w:tc>
      </w:tr>
      <w:tr w:rsidR="00C707B2" w:rsidRPr="00BE36E2" w14:paraId="704FC482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00008B" w14:textId="77777777" w:rsidR="00C707B2" w:rsidRPr="00BE36E2" w:rsidRDefault="00C7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C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</w:rPr>
              <w:t>Rafael Rodríguez Cuellar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D" w14:textId="630BEF40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</w:rPr>
              <w:t xml:space="preserve">Experto </w:t>
            </w:r>
            <w:r w:rsidR="006142B0" w:rsidRPr="00BE36E2">
              <w:rPr>
                <w:rFonts w:ascii="Arial" w:eastAsia="Arial" w:hAnsi="Arial" w:cs="Arial"/>
              </w:rPr>
              <w:t>Temático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E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</w:rPr>
              <w:t>Regional Huila - Centro de la Industria, la Empresa y los Servicios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8F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</w:rPr>
              <w:t>Junio de 2021</w:t>
            </w:r>
          </w:p>
        </w:tc>
      </w:tr>
      <w:tr w:rsidR="00C707B2" w:rsidRPr="00BE36E2" w14:paraId="3F32B4F9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000090" w14:textId="77777777" w:rsidR="00C707B2" w:rsidRPr="00BE36E2" w:rsidRDefault="00C7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91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Luis Fernando Botero Mendoza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92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Diseñador Instruccional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93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Regional Distrito Capital – Centro para la Industria de la Comunicación Gráfica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94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Junio de 2021</w:t>
            </w:r>
          </w:p>
        </w:tc>
      </w:tr>
      <w:tr w:rsidR="00C707B2" w:rsidRPr="00BE36E2" w14:paraId="4993FC05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00009A" w14:textId="77777777" w:rsidR="00C707B2" w:rsidRPr="00BE36E2" w:rsidRDefault="00C7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9B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Rafael Neftalí Lizcano Reyes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9C" w14:textId="2FEDE891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 xml:space="preserve">Asesor </w:t>
            </w:r>
            <w:r w:rsidR="006142B0">
              <w:rPr>
                <w:rFonts w:ascii="Arial" w:eastAsia="Arial" w:hAnsi="Arial" w:cs="Arial"/>
                <w:color w:val="000000"/>
              </w:rPr>
              <w:t>P</w:t>
            </w:r>
            <w:r w:rsidRPr="00BE36E2">
              <w:rPr>
                <w:rFonts w:ascii="Arial" w:eastAsia="Arial" w:hAnsi="Arial" w:cs="Arial"/>
                <w:color w:val="000000"/>
              </w:rPr>
              <w:t>edagógico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9D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Regional Santander - Centro Industrial del Diseño y la Manufactura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009E" w14:textId="77777777" w:rsidR="00C707B2" w:rsidRPr="00BE36E2" w:rsidRDefault="00C707B2" w:rsidP="000C3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>Junio de 2021</w:t>
            </w:r>
          </w:p>
        </w:tc>
      </w:tr>
      <w:tr w:rsidR="00C707B2" w:rsidRPr="00BE36E2" w14:paraId="4D3831A5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000009F" w14:textId="77777777" w:rsidR="00C707B2" w:rsidRPr="00BE36E2" w:rsidRDefault="00C70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5A355669" w:rsidR="00C707B2" w:rsidRPr="00C707B2" w:rsidRDefault="00C707B2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C707B2">
              <w:rPr>
                <w:rFonts w:ascii="Arial" w:eastAsia="Arial" w:hAnsi="Arial" w:cs="Arial"/>
              </w:rPr>
              <w:t>Sandra Patricia Hoyos Sepúlveda</w:t>
            </w:r>
          </w:p>
        </w:tc>
        <w:tc>
          <w:tcPr>
            <w:tcW w:w="1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03ABE6E7" w:rsidR="00C707B2" w:rsidRPr="00C707B2" w:rsidRDefault="006142B0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C707B2" w:rsidRPr="00C707B2">
              <w:rPr>
                <w:rFonts w:ascii="Arial" w:eastAsia="Arial" w:hAnsi="Arial" w:cs="Arial"/>
              </w:rPr>
              <w:t>orrección de estilo</w:t>
            </w:r>
          </w:p>
        </w:tc>
        <w:tc>
          <w:tcPr>
            <w:tcW w:w="2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201C655D" w:rsidR="00C707B2" w:rsidRPr="00C707B2" w:rsidRDefault="00F15C24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BE36E2">
              <w:rPr>
                <w:rFonts w:ascii="Arial" w:eastAsia="Arial" w:hAnsi="Arial" w:cs="Arial"/>
                <w:color w:val="000000"/>
              </w:rPr>
              <w:t xml:space="preserve">Regional Distrito Capital – </w:t>
            </w:r>
            <w:r w:rsidR="00C707B2" w:rsidRPr="00C707B2">
              <w:rPr>
                <w:rFonts w:ascii="Arial" w:eastAsia="Arial" w:hAnsi="Arial" w:cs="Arial"/>
              </w:rPr>
              <w:t>Centro para la Industria de la Comunicación Gráfica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4B40D243" w:rsidR="00C707B2" w:rsidRPr="00C707B2" w:rsidRDefault="00C707B2" w:rsidP="000C30C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C707B2">
              <w:rPr>
                <w:rFonts w:ascii="Arial" w:eastAsia="Arial" w:hAnsi="Arial" w:cs="Arial"/>
              </w:rPr>
              <w:t>Junio de 2021</w:t>
            </w:r>
          </w:p>
        </w:tc>
      </w:tr>
      <w:tr w:rsidR="000C30C1" w:rsidRPr="00BE36E2" w14:paraId="21261156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B9A232" w14:textId="77777777" w:rsidR="000C30C1" w:rsidRPr="00BE36E2" w:rsidRDefault="000C30C1" w:rsidP="000C3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1C0D" w14:textId="61995E4A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Andrés Felipe Velandia Espitia</w:t>
            </w:r>
          </w:p>
        </w:tc>
        <w:tc>
          <w:tcPr>
            <w:tcW w:w="1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E7EF" w14:textId="53C31572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Asesor Metodológico</w:t>
            </w:r>
          </w:p>
        </w:tc>
        <w:tc>
          <w:tcPr>
            <w:tcW w:w="2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1B3" w14:textId="7E1AAB13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Regional Distrito Capital - Centro de Gestión de Mercados, Logística y Tecnológica de la información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AA82" w14:textId="6021F0FC" w:rsidR="000C30C1" w:rsidRPr="000C30C1" w:rsidRDefault="000C30C1" w:rsidP="000C30C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Mayo de 2023</w:t>
            </w:r>
          </w:p>
        </w:tc>
      </w:tr>
      <w:tr w:rsidR="000C30C1" w:rsidRPr="00BE36E2" w14:paraId="1F771B8B" w14:textId="77777777" w:rsidTr="000C30C1">
        <w:trPr>
          <w:trHeight w:val="255"/>
        </w:trPr>
        <w:tc>
          <w:tcPr>
            <w:tcW w:w="13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CE8B" w14:textId="77777777" w:rsidR="000C30C1" w:rsidRPr="00BE36E2" w:rsidRDefault="000C30C1" w:rsidP="000C3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8443" w14:textId="1126E1C5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Liliana Victoria Morales Gualdrón</w:t>
            </w:r>
          </w:p>
        </w:tc>
        <w:tc>
          <w:tcPr>
            <w:tcW w:w="1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C90C" w14:textId="1BAFFD76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Responsable Línea de producción Distrito Capital -2023</w:t>
            </w:r>
          </w:p>
        </w:tc>
        <w:tc>
          <w:tcPr>
            <w:tcW w:w="2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8882" w14:textId="499B68DD" w:rsidR="000C30C1" w:rsidRPr="000C30C1" w:rsidRDefault="000C30C1" w:rsidP="000C30C1">
            <w:pPr>
              <w:spacing w:before="240" w:after="240"/>
              <w:ind w:left="6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Regional Distrito Capital - Centro de Gestión de Mercados, Logística y Tecnológica de la información</w:t>
            </w:r>
          </w:p>
        </w:tc>
        <w:tc>
          <w:tcPr>
            <w:tcW w:w="1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B115" w14:textId="6A12CDAF" w:rsidR="000C30C1" w:rsidRPr="000C30C1" w:rsidRDefault="000C30C1" w:rsidP="000C30C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 w:rsidRPr="000C30C1">
              <w:rPr>
                <w:rFonts w:ascii="Arial" w:hAnsi="Arial" w:cs="Arial"/>
              </w:rPr>
              <w:t>Mayo de 2023</w:t>
            </w:r>
          </w:p>
        </w:tc>
      </w:tr>
    </w:tbl>
    <w:p w14:paraId="000000A4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</w:p>
    <w:p w14:paraId="000000A5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A6" w14:textId="77777777" w:rsidR="00FF53DC" w:rsidRPr="00BE36E2" w:rsidRDefault="00106B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 w:rsidRPr="00BE36E2"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A7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586"/>
        <w:gridCol w:w="1534"/>
        <w:gridCol w:w="1692"/>
        <w:gridCol w:w="992"/>
        <w:gridCol w:w="1667"/>
      </w:tblGrid>
      <w:tr w:rsidR="00FF53DC" w:rsidRPr="00BE36E2" w14:paraId="7FD55B02" w14:textId="77777777" w:rsidTr="00040B61">
        <w:trPr>
          <w:trHeight w:val="596"/>
        </w:trPr>
        <w:tc>
          <w:tcPr>
            <w:tcW w:w="1276" w:type="dxa"/>
            <w:tcBorders>
              <w:top w:val="nil"/>
              <w:left w:val="nil"/>
            </w:tcBorders>
          </w:tcPr>
          <w:p w14:paraId="000000A8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586" w:type="dxa"/>
          </w:tcPr>
          <w:p w14:paraId="000000A9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534" w:type="dxa"/>
          </w:tcPr>
          <w:p w14:paraId="000000AA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Cargo</w:t>
            </w:r>
          </w:p>
        </w:tc>
        <w:tc>
          <w:tcPr>
            <w:tcW w:w="1692" w:type="dxa"/>
          </w:tcPr>
          <w:p w14:paraId="000000AB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Dependencia</w:t>
            </w:r>
          </w:p>
        </w:tc>
        <w:tc>
          <w:tcPr>
            <w:tcW w:w="992" w:type="dxa"/>
          </w:tcPr>
          <w:p w14:paraId="000000AC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667" w:type="dxa"/>
          </w:tcPr>
          <w:p w14:paraId="000000AD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Razón del Cambio</w:t>
            </w:r>
          </w:p>
        </w:tc>
      </w:tr>
      <w:tr w:rsidR="00FF53DC" w:rsidRPr="00BE36E2" w14:paraId="37115449" w14:textId="77777777" w:rsidTr="00040B61">
        <w:tc>
          <w:tcPr>
            <w:tcW w:w="1276" w:type="dxa"/>
          </w:tcPr>
          <w:p w14:paraId="000000AE" w14:textId="77777777" w:rsidR="00FF53DC" w:rsidRPr="00BE36E2" w:rsidRDefault="00106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36E2">
              <w:rPr>
                <w:rFonts w:ascii="Arial" w:eastAsia="Arial" w:hAnsi="Arial" w:cs="Arial"/>
                <w:b/>
                <w:color w:val="000000"/>
              </w:rPr>
              <w:t>Autor (es)</w:t>
            </w:r>
          </w:p>
        </w:tc>
        <w:tc>
          <w:tcPr>
            <w:tcW w:w="2586" w:type="dxa"/>
          </w:tcPr>
          <w:p w14:paraId="000000AF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34" w:type="dxa"/>
          </w:tcPr>
          <w:p w14:paraId="000000B0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692" w:type="dxa"/>
          </w:tcPr>
          <w:p w14:paraId="000000B1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92" w:type="dxa"/>
          </w:tcPr>
          <w:p w14:paraId="000000B2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667" w:type="dxa"/>
          </w:tcPr>
          <w:p w14:paraId="000000B3" w14:textId="77777777" w:rsidR="00FF53DC" w:rsidRPr="00BE36E2" w:rsidRDefault="00FF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000000B4" w14:textId="77777777" w:rsidR="00FF53DC" w:rsidRPr="00BE36E2" w:rsidRDefault="00FF53D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</w:rPr>
      </w:pPr>
    </w:p>
    <w:sectPr w:rsidR="00FF53DC" w:rsidRPr="00BE36E2">
      <w:headerReference w:type="default" r:id="rId15"/>
      <w:footerReference w:type="default" r:id="rId16"/>
      <w:headerReference w:type="first" r:id="rId17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is Fernando Botero Mendoza" w:date="2021-06-04T18:29:00Z" w:initials="">
    <w:p w14:paraId="000000BD" w14:textId="2E0EF5BA" w:rsidR="00FF53DC" w:rsidRDefault="00106B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Por favor elaborar y cargar el video que se propone en el documento </w:t>
      </w:r>
      <w:r w:rsidR="0087190D">
        <w:rPr>
          <w:rFonts w:ascii="Arial" w:eastAsia="Arial" w:hAnsi="Arial" w:cs="Arial"/>
          <w:color w:val="000000"/>
        </w:rPr>
        <w:t>Guion_</w:t>
      </w:r>
      <w:r>
        <w:rPr>
          <w:rFonts w:ascii="Arial" w:eastAsia="Arial" w:hAnsi="Arial" w:cs="Arial"/>
          <w:color w:val="000000"/>
        </w:rPr>
        <w:t>Presentacion_programa_121523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BD" w16cid:durableId="28226E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8A19" w14:textId="77777777" w:rsidR="007D776B" w:rsidRDefault="007D776B">
      <w:pPr>
        <w:spacing w:after="0" w:line="240" w:lineRule="auto"/>
      </w:pPr>
      <w:r>
        <w:separator/>
      </w:r>
    </w:p>
  </w:endnote>
  <w:endnote w:type="continuationSeparator" w:id="0">
    <w:p w14:paraId="08FBAB92" w14:textId="77777777" w:rsidR="007D776B" w:rsidRDefault="007D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BB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BC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3AAA" w14:textId="77777777" w:rsidR="007D776B" w:rsidRDefault="007D776B">
      <w:pPr>
        <w:spacing w:after="0" w:line="240" w:lineRule="auto"/>
      </w:pPr>
      <w:r>
        <w:separator/>
      </w:r>
    </w:p>
  </w:footnote>
  <w:footnote w:type="continuationSeparator" w:id="0">
    <w:p w14:paraId="0BE4BDF7" w14:textId="77777777" w:rsidR="007D776B" w:rsidRDefault="007D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7" w14:textId="39685E3A" w:rsidR="00FF53DC" w:rsidRDefault="00DE17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F39BB4" wp14:editId="6349593C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55549" cy="609600"/>
          <wp:effectExtent l="0" t="0" r="0" b="0"/>
          <wp:wrapNone/>
          <wp:docPr id="10673358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549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831">
      <w:rPr>
        <w:color w:val="000000"/>
      </w:rPr>
      <w:t xml:space="preserve"> </w:t>
    </w:r>
  </w:p>
  <w:p w14:paraId="000000B8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B9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5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B6" w14:textId="77777777" w:rsidR="00FF53DC" w:rsidRDefault="00FF53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4386"/>
    <w:multiLevelType w:val="multilevel"/>
    <w:tmpl w:val="546E6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460E3"/>
    <w:multiLevelType w:val="multilevel"/>
    <w:tmpl w:val="6DC22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1D56BA"/>
    <w:multiLevelType w:val="multilevel"/>
    <w:tmpl w:val="BF2ED4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777203">
    <w:abstractNumId w:val="1"/>
  </w:num>
  <w:num w:numId="2" w16cid:durableId="494345664">
    <w:abstractNumId w:val="0"/>
  </w:num>
  <w:num w:numId="3" w16cid:durableId="1365446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DC"/>
    <w:rsid w:val="00040B61"/>
    <w:rsid w:val="000C30C1"/>
    <w:rsid w:val="00106B87"/>
    <w:rsid w:val="00291E2F"/>
    <w:rsid w:val="00342BEE"/>
    <w:rsid w:val="003A2DD0"/>
    <w:rsid w:val="003C5D59"/>
    <w:rsid w:val="005106D7"/>
    <w:rsid w:val="006142B0"/>
    <w:rsid w:val="00633508"/>
    <w:rsid w:val="00645965"/>
    <w:rsid w:val="007857F5"/>
    <w:rsid w:val="007D776B"/>
    <w:rsid w:val="0087190D"/>
    <w:rsid w:val="008A13D0"/>
    <w:rsid w:val="00AC3A29"/>
    <w:rsid w:val="00B521DB"/>
    <w:rsid w:val="00BE36E2"/>
    <w:rsid w:val="00C707B2"/>
    <w:rsid w:val="00DE1799"/>
    <w:rsid w:val="00EE4328"/>
    <w:rsid w:val="00EF63EE"/>
    <w:rsid w:val="00F15C24"/>
    <w:rsid w:val="00F65831"/>
    <w:rsid w:val="00FE2D2F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B73B"/>
  <w15:docId w15:val="{7CF05087-9A95-4A1F-B1DF-72C959B5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0">
    <w:name w:val="heading 20"/>
    <w:basedOn w:val="Normal0"/>
    <w:next w:val="Normal0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0">
    <w:name w:val="heading 30"/>
    <w:basedOn w:val="Normal0"/>
    <w:next w:val="Normal0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0">
    <w:name w:val="Normal Table0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0"/>
    <w:uiPriority w:val="34"/>
    <w:qFormat/>
    <w:pPr>
      <w:ind w:left="720"/>
      <w:contextualSpacing/>
    </w:pPr>
  </w:style>
  <w:style w:type="paragraph" w:styleId="Encabezado">
    <w:name w:val="header"/>
    <w:basedOn w:val="Normal0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0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0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0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0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0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0"/>
    <w:next w:val="Normal0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</w:rPr>
  </w:style>
  <w:style w:type="paragraph" w:styleId="TDC1">
    <w:name w:val="toc 1"/>
    <w:basedOn w:val="Normal0"/>
    <w:next w:val="Normal0"/>
    <w:autoRedefine/>
    <w:uiPriority w:val="39"/>
    <w:unhideWhenUsed/>
    <w:pPr>
      <w:spacing w:after="100"/>
    </w:pPr>
  </w:style>
  <w:style w:type="paragraph" w:styleId="TDC2">
    <w:name w:val="toc 2"/>
    <w:basedOn w:val="Normal0"/>
    <w:next w:val="Normal0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00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00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0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0"/>
    <w:next w:val="Normal0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0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00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0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0"/>
    <w:next w:val="Normal0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0"/>
    <w:next w:val="Normal0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0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sQgF/OAaksMSYyjI+Elxb5YaGg==">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CA53E-2C58-4037-BF1A-20B08E289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5531A-E0B5-4E38-8E6A-34444FDFAACD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7A6B96-8379-4E3E-AFBB-48538E598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1372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user</cp:lastModifiedBy>
  <cp:revision>22</cp:revision>
  <dcterms:created xsi:type="dcterms:W3CDTF">2023-08-11T17:37:00Z</dcterms:created>
  <dcterms:modified xsi:type="dcterms:W3CDTF">2023-08-11T17:37:00Z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4405700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2023-08-11T17:37:48Z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433c7244-2ec5-49e0-b025-ddd55619bda6</vt:lpwstr>
  </property>
  <property fmtid="{D5CDD505-2E9C-101B-9397-08002B2CF9AE}" pid="19" name="MSIP_Label_1299739c-ad3d-4908-806e-4d91151a6e13_ContentBits">
    <vt:lpwstr>0</vt:lpwstr>
  </property>
</Properties>
</file>