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Gobernanza de la Visión de futuro de la Política Pública de Competitividad, Ciencia, Tecnología e Innovación del Valle del Cauca.</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Pedro Leon Cruz Aguilar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 la articulación de los investigadores y los grupos de investigación con la empresa, el estado y la sociedad civil  del Valle del Cauca se necesita de un elemento estratégico (Visión de futuro) que sea compartido por todos los actores del sistema de C+ CTeI de la región,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Entendida la visión de futuro como un enunciado sobre el porvenir que se constituye en el punto de partida para la construcción de un futuro diferente del pasado, resultado del pensamiento creativo de los actores, que surge de la divergencias, la novedad y la imaginación de estos, que los conduce a la búsqueda de un futuro deseado y a la vez compartido por todos. Las visiones han sido definidas, como:</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expresión o pretensión más o menos explícita de un futuro que es idealizado para movilizar el presente con el fin de desplazarse en la dirección de este futuro potencial” (Van der Helm, 2009, p.100). La visión se constituye en una afirmación que inspira y da dirección a quienes están comprometidos en lograrla.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visión no debe ser letra muerta en un papel sino un enunciado vivo que nos mueve a la acción mediante un pensamiento compartido por un grupo de personas, el cual es intensamente sentido por estas, las cuales creen que es posible lograrlo y por eso contribuyen para su consecución (Bezold,2009). La visión se constituye en un elemento que invita a la acción para lograr un pensamiento sobre el futuro compartido por un conjunto de personas.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 la capacidad de escuchar en el presente a las simientes del cambio y por consiguiente es la misma posibilidad de cambio y de construir un futuro diferente del actual (…) captura los cambios en el presente y los convierte en lo futuro, lo diverso, lo otro “(Masini y Steembergen,1979, p.12). Es la semilla de cambio para la construcción un futuro humano y sostenible.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las sociedades moderna las visiones de futuro son un medio esencial para la gobernanza ya que por su aspecto normativo permite establecer  reglas, procesos y las maneras como el estado interactúa con las entidades públicas, las privadas y la sociedad civil. Convirtiendo la discusión sobre el futuro en un aspecto importante de la gobernanza.</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Las visiones para ser una fuerza que muevan a las personas a  su realización  y no  quedarse como un anuncio en el papel deben ser: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Transformadora. Proponer un futuro diferente del presente y en los posible innovador.</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Realizable. Que pueda convertirse en una realidad en el horizonte de tiempo especificado.</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Estructurada. Debe obedecer a un análisis previo sobre la situación del sistema u organización.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Semillas de Cambio. Debe identificar las simientes  de cambio que son aquellas cosas que se hacen de manera diferente y que son generadoras de cambio por lo tanto deben protegerse y potencializarse.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Las visiones de futuro son aquello enunciados sobre el porvenir que invitan al cambio, a la construcción de un futuro diferente del momento actual de manera compartida a partir de las semillas de cambio las cuales pueden estar sembradas en aquellas cosas que se realizan de modo diferente, pero que necesitan ser protegidas y potenciadas (posiblemente nichos).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vertAlign w:val="baseline"/>
          <w:rtl w:val="0"/>
        </w:rPr>
        <w:t xml:space="preserve">Son varias las visiones sobre competitividad, ciencia y tecnología que se han formulado en el Departamento del Valle del Cauca: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Comisión Regional de Competitividad – Valle del Cauca  (2010) publico el Plan regional de competitividad, donde se  formulo la visión de competitividad del Valle del Cauca al  2032. </w:t>
      </w:r>
    </w:p>
    <w:p w:rsidR="00000000" w:rsidDel="00000000" w:rsidP="00000000" w:rsidRDefault="00000000" w:rsidRPr="00000000" w14:paraId="00000012">
      <w:pPr>
        <w:spacing w:line="360" w:lineRule="auto"/>
        <w:ind w:left="708"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En el 2032  el Valle del Cauca es el Departamento más competitivo de Colombia, reconocido por generar oportunidades sustentadas en el respeto a su diversidad étnica y cultural y sus capacidades de biorregión, con una elevada calidad de vida de sus habitantes, a partir de una economía de bienes y servicios de alto valor agregado e innovación, orientada al mercado interno y externo, con una alta inserción en la cuenca del </w:t>
      </w:r>
      <w:r w:rsidDel="00000000" w:rsidR="00000000" w:rsidRPr="00000000">
        <w:rPr>
          <w:rFonts w:ascii="Times New Roman" w:cs="Times New Roman" w:eastAsia="Times New Roman" w:hAnsi="Times New Roman"/>
          <w:i w:val="1"/>
          <w:sz w:val="24"/>
          <w:szCs w:val="24"/>
          <w:rtl w:val="0"/>
        </w:rPr>
        <w:t xml:space="preserve">pacífico</w:t>
      </w:r>
      <w:r w:rsidDel="00000000" w:rsidR="00000000" w:rsidRPr="00000000">
        <w:rPr>
          <w:rFonts w:ascii="Times New Roman" w:cs="Times New Roman" w:eastAsia="Times New Roman" w:hAnsi="Times New Roman"/>
          <w:i w:val="1"/>
          <w:sz w:val="24"/>
          <w:szCs w:val="24"/>
          <w:vertAlign w:val="baseline"/>
          <w:rtl w:val="0"/>
        </w:rPr>
        <w:t xml:space="preserve"> y un ambiente de negocio que incentive la inversión local y extranjera. </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Colciencias y la Gobernación del Valle del Cauca (2011). Formularon el Plan estratégico regional de Ciencia, Tecnología e Innovación del Valle del  Cauca que tenia como visión : </w:t>
      </w:r>
    </w:p>
    <w:p w:rsidR="00000000" w:rsidDel="00000000" w:rsidP="00000000" w:rsidRDefault="00000000" w:rsidRPr="00000000" w14:paraId="00000014">
      <w:pPr>
        <w:spacing w:line="360" w:lineRule="auto"/>
        <w:ind w:left="708" w:firstLine="0"/>
        <w:jc w:val="both"/>
        <w:rPr>
          <w:rFonts w:ascii="Times New Roman" w:cs="Times New Roman" w:eastAsia="Times New Roman" w:hAnsi="Times New Roman"/>
          <w:i w:val="0"/>
          <w:sz w:val="24"/>
          <w:szCs w:val="24"/>
          <w:vertAlign w:val="baseline"/>
        </w:rPr>
      </w:pPr>
      <w:bookmarkStart w:colFirst="0" w:colLast="0" w:name="_heading=h.30j0zll" w:id="1"/>
      <w:bookmarkEnd w:id="1"/>
      <w:r w:rsidDel="00000000" w:rsidR="00000000" w:rsidRPr="00000000">
        <w:rPr>
          <w:rFonts w:ascii="Times New Roman" w:cs="Times New Roman" w:eastAsia="Times New Roman" w:hAnsi="Times New Roman"/>
          <w:i w:val="1"/>
          <w:sz w:val="24"/>
          <w:szCs w:val="24"/>
          <w:vertAlign w:val="baseline"/>
          <w:rtl w:val="0"/>
        </w:rPr>
        <w:t xml:space="preserve">En el 2032 el Valle del Cauca será una región de conocimiento, líder en la generación y aplicación permanente de la ciencia, la tecnología y la innovación en procesos sociales, económicos, culturales, ambientales, e institucionales, con alto nivel de competitividad, desarrollo humano y sostenible en el contexto global.</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Comisión Regional de Competitividad del Valle del Cauca (2015) presento la narrativa de competitividad “Somos un Valle que se atreve” aunque no tiene una visión, tiene un objetivo principal que es:</w:t>
      </w:r>
    </w:p>
    <w:p w:rsidR="00000000" w:rsidDel="00000000" w:rsidP="00000000" w:rsidRDefault="00000000" w:rsidRPr="00000000" w14:paraId="00000016">
      <w:pPr>
        <w:spacing w:line="360" w:lineRule="auto"/>
        <w:ind w:left="708"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Dotar a la región de una versión moderna, sustentada y creíble de las oportunidades con las que cuenta para alcanzar un desarrollo económico extraordinario, apalancado en el reconocimiento de su realidad y la implementación de una hoja de ruta que permita lograrlo</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Otro de los antecedentes de la Política Publica de Competitividad, Ciencia, Tecnología e Innovación del Valle del Cauca, es el plan de desarrollo del departamento para el periodo 2016-2019 que tiene como visión: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 anterior nos demuestra que la región, desde hace más de una década viene pensando en  el futuro de la Competitividad, Ciencia, Tecnología e Innovación.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Visión de Futuro  de la Política Pública de Competitividad, Ciencia, Tecnología e Innovación del Valle del Cauca</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Gobernación del Valle del Cauca (2018) formulo la Política Pública de Competitividad, Ciencia, Tecnología e Innovacion (C + CTeI), denominada: </w:t>
      </w:r>
      <w:r w:rsidDel="00000000" w:rsidR="00000000" w:rsidRPr="00000000">
        <w:rPr>
          <w:rFonts w:ascii="Times New Roman" w:cs="Times New Roman" w:eastAsia="Times New Roman" w:hAnsi="Times New Roman"/>
          <w:i w:val="1"/>
          <w:sz w:val="24"/>
          <w:szCs w:val="24"/>
          <w:vertAlign w:val="baseline"/>
          <w:rtl w:val="0"/>
        </w:rPr>
        <w:t xml:space="preserve">Conocimiento para el Desarrollo Económico, Social y Ambiental</w:t>
      </w:r>
      <w:r w:rsidDel="00000000" w:rsidR="00000000" w:rsidRPr="00000000">
        <w:rPr>
          <w:rFonts w:ascii="Times New Roman" w:cs="Times New Roman" w:eastAsia="Times New Roman" w:hAnsi="Times New Roman"/>
          <w:sz w:val="24"/>
          <w:szCs w:val="24"/>
          <w:vertAlign w:val="baseline"/>
          <w:rtl w:val="0"/>
        </w:rPr>
        <w:t xml:space="preserve">. La cual fue construida con la participación de 3860 personas y 100 instituciones y aprobada por la Asamblea Departamental mediante la Ordenanza 468 de 2018. Dando cumplimiento al pilar dos del Plan de Desarrollo “El Valle está en Vos” : Por un Valle Productivo y Competitivo”. Que  tiene como visión:</w:t>
      </w:r>
    </w:p>
    <w:p w:rsidR="00000000" w:rsidDel="00000000" w:rsidP="00000000" w:rsidRDefault="00000000" w:rsidRPr="00000000" w14:paraId="0000001B">
      <w:pPr>
        <w:spacing w:line="360" w:lineRule="auto"/>
        <w:ind w:left="708" w:firstLine="0"/>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Para el año 2032, El Valle del Cauca será un Departamento con alto índices de equidad, competitividad y sostenibilidad en Colombia, mediante la Ciencia, Tecnología e Innovación para su transformación productiva y social con articulación regional y perspectiva global en los focos Biodiversidad, Agropecuario – Agroindustrial, Servicios- Logística, Salud, Energía, Turismo y Educación. </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forma de interacción entre los diferentes actores del sistema de C+CTe I, de la región, refleja la calidad de este y afecta cada uno de sus miembros y por lo tanto la gobernanza de la política pública C + CTe I.</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la visión de futuro de la política de C+CTeI del Departamento del Valle del Cauca.</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Según los actores reunidos en el taller del proyecto </w:t>
      </w:r>
      <w:r w:rsidDel="00000000" w:rsidR="00000000" w:rsidRPr="00000000">
        <w:rPr>
          <w:rFonts w:ascii="Times New Roman" w:cs="Times New Roman" w:eastAsia="Times New Roman" w:hAnsi="Times New Roman"/>
          <w:i w:val="1"/>
          <w:sz w:val="24"/>
          <w:szCs w:val="24"/>
          <w:vertAlign w:val="baseline"/>
          <w:rtl w:val="0"/>
        </w:rPr>
        <w:t xml:space="preserve">Un  Valle de Conocimiento</w:t>
      </w:r>
      <w:r w:rsidDel="00000000" w:rsidR="00000000" w:rsidRPr="00000000">
        <w:rPr>
          <w:rFonts w:ascii="Times New Roman" w:cs="Times New Roman" w:eastAsia="Times New Roman" w:hAnsi="Times New Roman"/>
          <w:sz w:val="24"/>
          <w:szCs w:val="24"/>
          <w:vertAlign w:val="baseline"/>
          <w:rtl w:val="0"/>
        </w:rPr>
        <w:t xml:space="preserve"> en las ciudad de Cali  el 23  de septiembre de 2019. La visión de futuro de la política de C+CT e I del Departamento del Valle del Cauca se    caracteriza por: Ser transformadora (56%), realizable (48%), estructurada (48%) y que promueve semillas de cambio (64%).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Cabe señalar que el 16%,  piensa que no es transformadora, el 12%, que no es realizable, el 24% que no está estructurada y el 8% que no promueve semillas de cambio.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respondieron el 28% sobre si era transformadora, el 40%, si era realizable,  el 32% si era estructurada y el 28% si promueve semillas de cambio.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cuanto al esfuerzo que hay que realizar El 72%, de los encuestados considera que se necesitan grandes esfuerzos para convertirla en  una realidad y el 28% considera que no necesitan grandes esfuerzos.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mayoría de  los actores (72%)  estima que  la realización de la visión tendrá  un alto impacto en la región y el 28% piensa que su logro  no tendrá un alto impacto.</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conclusión la mayoría de los actores piensa que la visión de futuro del sistema de C+ CT e I del departamento cumple con las características de una visión de futuro,  que se necesitan grandes esfuerzos para convertirla en una realidad y tendría un alto impacto en la ciencia, la tecnología y la innovación del departamento.</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Evolución de la Visión de la política de  C+CTe I del Valle del Cauca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Considerando que la  forma de interacción entre los diversos actores de un  sistema refleja la calidad del mismo y que el futuro es el único tiempo que le brinda al ser humano además de la incertidumbre y temores, las oportunidades y lo que más importante la posibilidad de construirlo.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el taller realizado por el  proyecto </w:t>
      </w:r>
      <w:r w:rsidDel="00000000" w:rsidR="00000000" w:rsidRPr="00000000">
        <w:rPr>
          <w:rFonts w:ascii="Times New Roman" w:cs="Times New Roman" w:eastAsia="Times New Roman" w:hAnsi="Times New Roman"/>
          <w:i w:val="1"/>
          <w:sz w:val="24"/>
          <w:szCs w:val="24"/>
          <w:vertAlign w:val="baseline"/>
          <w:rtl w:val="0"/>
        </w:rPr>
        <w:t xml:space="preserve">Un Valle de Conocimiento</w:t>
      </w:r>
      <w:r w:rsidDel="00000000" w:rsidR="00000000" w:rsidRPr="00000000">
        <w:rPr>
          <w:rFonts w:ascii="Times New Roman" w:cs="Times New Roman" w:eastAsia="Times New Roman" w:hAnsi="Times New Roman"/>
          <w:sz w:val="24"/>
          <w:szCs w:val="24"/>
          <w:vertAlign w:val="baseline"/>
          <w:rtl w:val="0"/>
        </w:rPr>
        <w:t xml:space="preserve">, en la ciudades de Cali el  23  de septiembre de 2019. 1) Los participantes se dividieron por foco: Biodiversidad, Agropecuario-Agroindustrial, Servicios-Logística, Salud, Energía, Turismo y Educación, 2) con base en los seis pilares de la visión: Equidad, competitividad, sostenibilidad, transformación productiva y social, articulación regional y perspectiva global, se les pregunto: ¿Qué debemos seguir haciendo?, ¿Qué debemos dejar de hacer? Y ¿Qué hay que empezar hacer? A lo cual contestaron:</w:t>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debemos seguir haciendo?</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 ser equitativos se debe seguir creando oportunidades, siendo inclusivo, mediante la visualización de los actores del sistema y continuar financiando los proyectos derivados de la investigación.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Continuar fortaleciendo económicamente al pequeño mediano y gran productor, diversificando la economía del departamento, invirtiendo en infraestructura y generando confianza entre los actores: Estado-Universidad- Empresa y Sociedad Civil. Para mejorar el nivel de competitividad del departamento.</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Capacitando a la comunidad sobre las bondades de adoptar una conducta ambiental sostenible, visibilizando los efectos negativos de la contaminación ambiental y vinculando los proyectos que se formulen con los Objetivos de Desarrollo Sostenibles.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Fortaleciendo la identidad regional mediante la articulación  de los actores de manera continua e incentivando la diversificación de los cultivos agrícolas.</w:t>
      </w:r>
    </w:p>
    <w:p w:rsidR="00000000" w:rsidDel="00000000" w:rsidP="00000000" w:rsidRDefault="00000000" w:rsidRPr="00000000" w14:paraId="0000002D">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Seguir profundizando las relaciones entre  Estado – Empresa- Universidad – Sociedad Civil y coordinando las políticas regionales con los planes de desarrollo nacional, con el fin de lograr una mayor articulación regional.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Trabajando en la implementación de los objetivos de desarrollo sostenibles (ODS) y potencializar la región del pacifico desde una perspectiva global. </w:t>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debemos dejar de hacer?</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Profundizar la inequidad cuando se privilegia a unos sectores y desprotege a otros mediante la formulación de políticas que fomentan la exclusión.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Perder competitividad (quinto lugar en Índice de Competitividad Departamental 2019)</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vertAlign w:val="baseline"/>
          <w:rtl w:val="0"/>
        </w:rPr>
        <w:t xml:space="preserve"> cuando  se continua fomentando los monocultivos y destinando la mayoría de los recursos a sectores que están posicionados o a los grandes empresarios  en detrimento de los nuevos emprendimientos.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Invertir en proyectos que no sean sostenibles, desestimular las practicas que vayan en contra del medio ambiente y la expansión urbana a lo rural de manera indiscriminada.</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Plantear políticas que favorezcan únicamente a los grandes empresarios en detrimento de los pequeños y medianos y fomentar los monocultivos, lo cual va en contra de la transformación productiva y social.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Trabajar en forma aislada y plantear políticas de manera centralizada, situación que no contribuye a la articulación regional.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Focalizarse únicamente en unos pocos productos para exportación, hay que promover la diversificación, con una perspectiva global </w:t>
      </w:r>
    </w:p>
    <w:p w:rsidR="00000000" w:rsidDel="00000000" w:rsidP="00000000" w:rsidRDefault="00000000" w:rsidRPr="00000000" w14:paraId="00000037">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¿Qué hay que empezar hacer?</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Es necesario ser más equitativos haciendo más incluyentes las políticas de C+CTeI, de manera que puedan participar los pequeños y medianos empresarios y acceder a estas la  sociedad civil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Iniciar el  fortalecimiento de los procesos de participación en la política de C+CTe I de departamento, lo cual le daría una mayor visibilidad e inclusión de los actores y por ende volvería el departamento más competitivo.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Comenzar rápidamente la enseñanza de los ODS de manera transversal en  todos los niveles de la educación, promover los sistemas de energía renovable comenzando por las entidades oficiales e incorporar materiales amigables con el medio ambiente en las construcciones, contribuyendo a la sostenibilidad del planeta.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Integrar las redes donde participen los distintos actores del sistema de C+CTeI, incentivar nuevos aprendizajes y desarrollar iniciativas sociales y productivas que enseñen a la gente a ser autosuficientes. Iniciando el camino hacia una transformación productiva y social.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Iniciar convenios para que los departamentos y municipios de mayor capacidad en C+CTeI apadrinen a los de menor capacidad de gestión.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Generar identidad territorial e identificar los procesos exitosos en C+CTeI en otros países y generar intercambio de conocimiento para mirar la posibilidad de adaptarlos a nuestra región.</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 conclusión la gobernanza debe conducir a la articulación y fortalecimiento de los liderazgos del Estado,  los grupos de investigación,  las empresas, los nichos y la sociedad civil con el fin de hacer una realidad la visión de futuro, teniendo en cuenta  lo que los actores participantes en los talleres consideran que se debe seguir haciendo, lo que se debe dejar de hacer y que hay que empezar a hacer.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Referencias Bibliográficas</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Bezold, C.  (2009) Aspirational Futures. Journal of Futures Studies, 13(4): 81 – 90.</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Colciencias y la Gobernación del Valle del Cauca (2011). Plan estratégico regional de Ciencia, tecnología e innovación del Valle del  Cauca. Recuperado de : </w:t>
      </w:r>
      <w:hyperlink r:id="rId8">
        <w:r w:rsidDel="00000000" w:rsidR="00000000" w:rsidRPr="00000000">
          <w:rPr>
            <w:rFonts w:ascii="Times New Roman" w:cs="Times New Roman" w:eastAsia="Times New Roman" w:hAnsi="Times New Roman"/>
            <w:color w:val="0563c1"/>
            <w:sz w:val="24"/>
            <w:szCs w:val="24"/>
            <w:u w:val="single"/>
            <w:vertAlign w:val="baseline"/>
            <w:rtl w:val="0"/>
          </w:rPr>
          <w:t xml:space="preserve">https://www.colciencias.gov.co/sites/default/files/upload/paginas/pedcti-valle-del-cauca.pdf</w:t>
        </w:r>
      </w:hyperlink>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Comisión Regional de Competitividad – Valle del Cauca  (2010) Plan regional de competitividad. Recuperado de:  </w:t>
      </w:r>
      <w:hyperlink r:id="rId9">
        <w:r w:rsidDel="00000000" w:rsidR="00000000" w:rsidRPr="00000000">
          <w:rPr>
            <w:rFonts w:ascii="Times New Roman" w:cs="Times New Roman" w:eastAsia="Times New Roman" w:hAnsi="Times New Roman"/>
            <w:color w:val="0563c1"/>
            <w:sz w:val="24"/>
            <w:szCs w:val="24"/>
            <w:u w:val="single"/>
            <w:vertAlign w:val="baseline"/>
            <w:rtl w:val="0"/>
          </w:rPr>
          <w:t xml:space="preserve">https://www.uao.edu.co/plandedesarrollo/wp-content/uploads/documents/2015-04/plan-regional-competitividad-valle-del-cauca.pdf</w:t>
        </w:r>
      </w:hyperlink>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Comisión Regional de Competitividad del Valle del Cauca (2015) .Somos un Valle que se atreve. Recuperado de : </w:t>
      </w:r>
      <w:hyperlink r:id="rId10">
        <w:r w:rsidDel="00000000" w:rsidR="00000000" w:rsidRPr="00000000">
          <w:rPr>
            <w:rFonts w:ascii="Times New Roman" w:cs="Times New Roman" w:eastAsia="Times New Roman" w:hAnsi="Times New Roman"/>
            <w:color w:val="0563c1"/>
            <w:sz w:val="24"/>
            <w:szCs w:val="24"/>
            <w:u w:val="single"/>
            <w:vertAlign w:val="baseline"/>
            <w:rtl w:val="0"/>
          </w:rPr>
          <w:t xml:space="preserve">http://crcvalle.org.co/wp-content/uploads/Documentos/Guia-narrativa-de-competitividad.pdf</w:t>
        </w:r>
      </w:hyperlink>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Gobernación del Valle del Cauca (2018).Política Pública de Competitividad, Ciencia, Tecnología e Innovacion (C + CTeI). Conocimiento para el Desarrollo Económico, Social y Ambiental. Recuperado de :</w:t>
      </w:r>
      <w:r w:rsidDel="00000000" w:rsidR="00000000" w:rsidRPr="00000000">
        <w:rPr>
          <w:vertAlign w:val="baseline"/>
          <w:rtl w:val="0"/>
        </w:rPr>
        <w:t xml:space="preserve"> </w:t>
      </w:r>
      <w:hyperlink r:id="rId11">
        <w:r w:rsidDel="00000000" w:rsidR="00000000" w:rsidRPr="00000000">
          <w:rPr>
            <w:rFonts w:ascii="Times New Roman" w:cs="Times New Roman" w:eastAsia="Times New Roman" w:hAnsi="Times New Roman"/>
            <w:color w:val="0563c1"/>
            <w:sz w:val="24"/>
            <w:szCs w:val="24"/>
            <w:u w:val="single"/>
            <w:vertAlign w:val="baseline"/>
            <w:rtl w:val="0"/>
          </w:rPr>
          <w:t xml:space="preserve">https://www.usbcali.edu.co/node/4919</w:t>
        </w:r>
      </w:hyperlink>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vertAlign w:val="baseline"/>
        </w:rPr>
      </w:pPr>
      <w:bookmarkStart w:colFirst="0" w:colLast="0" w:name="_heading=h.3znysh7" w:id="3"/>
      <w:bookmarkEnd w:id="3"/>
      <w:r w:rsidDel="00000000" w:rsidR="00000000" w:rsidRPr="00000000">
        <w:rPr>
          <w:rFonts w:ascii="Times New Roman" w:cs="Times New Roman" w:eastAsia="Times New Roman" w:hAnsi="Times New Roman"/>
          <w:sz w:val="24"/>
          <w:szCs w:val="24"/>
          <w:vertAlign w:val="baseline"/>
          <w:rtl w:val="0"/>
        </w:rPr>
        <w:t xml:space="preserve">Masini, E. y  Steembergen, B. (1979) Introducción al acta de sesiones de la reunión de México. En “Visiones de sociedades deseables”. (pp.11-18).México: Federación mundial de estudios de futuro. Centro de estudios económicos y sociales del tercer mundo. </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Van der Helm, R. (2009). The vision phenomenon: Towards a theoretical underpinning of visions of the future and the process of envisioning.</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Doctor en Administración, Coordinador producto 1.1.</w:t>
      </w:r>
    </w:p>
  </w:footnote>
  <w:footnote w:id="1">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Consejo Privado de Competitividad (2019) Índice departamental de competitividad.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https://compite.com.co/indice-departamental-de-competitividad/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s-CO"/>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CO"/>
    </w:rPr>
  </w:style>
  <w:style w:type="character" w:styleId="Ref.decomentario">
    <w:name w:val="Ref. de comentario"/>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suppressAutoHyphens w:val="1"/>
      <w:spacing w:after="16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s-CO"/>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after="16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CO"/>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rPr>
  </w:style>
  <w:style w:type="paragraph" w:styleId="Textonotapie">
    <w:name w:val="Texto nota pie"/>
    <w:basedOn w:val="Normal"/>
    <w:next w:val="Textonotapie"/>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s-CO"/>
    </w:rPr>
  </w:style>
  <w:style w:type="character" w:styleId="TextonotapieCar">
    <w:name w:val="Texto nota pie Car"/>
    <w:next w:val="TextonotapieCar"/>
    <w:autoRedefine w:val="0"/>
    <w:hidden w:val="0"/>
    <w:qFormat w:val="0"/>
    <w:rPr>
      <w:w w:val="100"/>
      <w:position w:val="-1"/>
      <w:sz w:val="20"/>
      <w:szCs w:val="20"/>
      <w:effect w:val="none"/>
      <w:vertAlign w:val="baseline"/>
      <w:cs w:val="0"/>
      <w:em w:val="none"/>
      <w:lang/>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usbcali.edu.co/node/4919" TargetMode="External"/><Relationship Id="rId10" Type="http://schemas.openxmlformats.org/officeDocument/2006/relationships/hyperlink" Target="http://crcvalle.org.co/wp-content/uploads/Documentos/Guia-narrativa-de-competitividad.pdf" TargetMode="External"/><Relationship Id="rId9" Type="http://schemas.openxmlformats.org/officeDocument/2006/relationships/hyperlink" Target="https://www.uao.edu.co/plandedesarrollo/wp-content/uploads/documents/2015-04/plan-regional-competitividad-valle-del-cauca.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colciencias.gov.co/sites/default/files/upload/paginas/pedcti-valle-del-cauca.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mpite.com.co/indice-departamental-de-competitiv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uCtuoBVeWYmqFaPJ3KFK1iaNg==">AMUW2mWBgyO3cEu7dBP7o4JiV+bLDqaVW+GhzWc4XrYR/SnwbRUHWfP9Q8Ent+eYTVRqzpBVAft5EbobFW2Ycu5JbbZ+VSxY8QKPJbSB8teVACDFPNQ7jMSHMOzlR1UdVoac640VF0mS57xsGnEng2luMIQJpbmDP3389ScMLqIAA1VFkiw6Zvk=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2020-01-08T21:56:00Z</dcterms:created>
  <dc:creator>Andres Felipe Cruz Angulo</dc:creator>
</cp:coreProperties>
</file>

<file path=docProps/custom.xml><?xml version="1.0" encoding="utf-8"?>
<Properties xmlns="http://schemas.openxmlformats.org/officeDocument/2006/custom-properties" xmlns:vt="http://schemas.openxmlformats.org/officeDocument/2006/docPropsVTypes"/>
</file>