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2FADC" w14:textId="77777777" w:rsidR="001B7A4E" w:rsidRPr="00CC6121" w:rsidRDefault="001B7A4E" w:rsidP="001B7A4E">
      <w:pPr>
        <w:pStyle w:val="NormalWeb"/>
        <w:spacing w:line="276" w:lineRule="auto"/>
        <w:jc w:val="both"/>
        <w:rPr>
          <w:rFonts w:ascii="Arial" w:hAnsi="Arial" w:cs="Arial"/>
          <w:sz w:val="20"/>
          <w:szCs w:val="20"/>
        </w:rPr>
      </w:pPr>
    </w:p>
    <w:p w14:paraId="46FE9107" w14:textId="5AAAC986" w:rsidR="001B7A4E" w:rsidRPr="001B7A4E" w:rsidRDefault="001B7A4E" w:rsidP="001B7A4E">
      <w:pPr>
        <w:pStyle w:val="Heading1"/>
        <w:jc w:val="center"/>
        <w:rPr>
          <w:rFonts w:cs="Arial"/>
          <w:b/>
          <w:bCs/>
          <w:szCs w:val="20"/>
        </w:rPr>
      </w:pPr>
      <w:bookmarkStart w:id="0" w:name="_Toc226372407"/>
      <w:r w:rsidRPr="001B7A4E">
        <w:rPr>
          <w:rFonts w:cs="Arial"/>
          <w:b/>
          <w:bCs/>
          <w:szCs w:val="20"/>
        </w:rPr>
        <w:t>Documentación, socialización y calidad en los procesos contables</w:t>
      </w:r>
      <w:bookmarkEnd w:id="0"/>
    </w:p>
    <w:p w14:paraId="2F0EA1D8"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La documentación en los procesos contables cumple una función estructural: permite conservar la memoria del procedimiento, respaldar las decisiones de registro, facilitar la consulta posterior y sostener la trazabilidad de la información desde su origen hasta su archivo final. En el ámbito público colombiano, la Ley 594 de 2000 y la política de gestión documental señalan que la documentación debe planificarse, manejarse y organizarse para facilitar su utilización y conservación, mientras que Función Pública destaca que la gestión documental comprende procesos como planeación, producción, trámite, organización, transferencia, disposición, preservación y valoración. Aplicado al campo contable, esto significa que los soportes, formatos, manuales, reportes y evidencias del proceso no pueden tratarse como anexos secundarios, sino como parte del sistema que da estabilidad y verificabilidad al registro.</w:t>
      </w:r>
      <w:sdt>
        <w:sdtPr>
          <w:rPr>
            <w:rFonts w:ascii="Arial" w:hAnsi="Arial" w:cs="Arial"/>
            <w:sz w:val="20"/>
            <w:szCs w:val="20"/>
          </w:rPr>
          <w:id w:val="878523613"/>
          <w:citation/>
        </w:sdtPr>
        <w:sdtContent>
          <w:r w:rsidRPr="00CC6121">
            <w:rPr>
              <w:rFonts w:ascii="Arial" w:hAnsi="Arial" w:cs="Arial"/>
              <w:sz w:val="20"/>
              <w:szCs w:val="20"/>
            </w:rPr>
            <w:fldChar w:fldCharType="begin"/>
          </w:r>
          <w:r w:rsidRPr="00CC6121">
            <w:rPr>
              <w:rFonts w:ascii="Arial" w:hAnsi="Arial" w:cs="Arial"/>
              <w:sz w:val="20"/>
              <w:szCs w:val="20"/>
            </w:rPr>
            <w:instrText xml:space="preserve">CITATION Arc001 \n  \l 9226 </w:instrText>
          </w:r>
          <w:r w:rsidRPr="00CC6121">
            <w:rPr>
              <w:rFonts w:ascii="Arial" w:hAnsi="Arial" w:cs="Arial"/>
              <w:sz w:val="20"/>
              <w:szCs w:val="20"/>
            </w:rPr>
            <w:fldChar w:fldCharType="separate"/>
          </w:r>
          <w:r w:rsidRPr="00CC6121">
            <w:rPr>
              <w:rFonts w:ascii="Arial" w:hAnsi="Arial" w:cs="Arial"/>
              <w:noProof/>
              <w:sz w:val="20"/>
              <w:szCs w:val="20"/>
            </w:rPr>
            <w:t xml:space="preserve"> (Ley 594, 2000)</w:t>
          </w:r>
          <w:r w:rsidRPr="00CC6121">
            <w:rPr>
              <w:rFonts w:ascii="Arial" w:hAnsi="Arial" w:cs="Arial"/>
              <w:sz w:val="20"/>
              <w:szCs w:val="20"/>
            </w:rPr>
            <w:fldChar w:fldCharType="end"/>
          </w:r>
        </w:sdtContent>
      </w:sdt>
      <w:r w:rsidRPr="00CC6121">
        <w:rPr>
          <w:rFonts w:ascii="Arial" w:hAnsi="Arial" w:cs="Arial"/>
          <w:sz w:val="20"/>
          <w:szCs w:val="20"/>
        </w:rPr>
        <w:t xml:space="preserve">; </w:t>
      </w:r>
      <w:sdt>
        <w:sdtPr>
          <w:rPr>
            <w:rFonts w:ascii="Arial" w:hAnsi="Arial" w:cs="Arial"/>
            <w:sz w:val="20"/>
            <w:szCs w:val="20"/>
          </w:rPr>
          <w:id w:val="562913377"/>
          <w:citation/>
        </w:sdtPr>
        <w:sdtContent>
          <w:r w:rsidRPr="00CC6121">
            <w:rPr>
              <w:rFonts w:ascii="Arial" w:hAnsi="Arial" w:cs="Arial"/>
              <w:sz w:val="20"/>
              <w:szCs w:val="20"/>
            </w:rPr>
            <w:fldChar w:fldCharType="begin"/>
          </w:r>
          <w:r w:rsidRPr="00CC6121">
            <w:rPr>
              <w:rFonts w:ascii="Arial" w:hAnsi="Arial" w:cs="Arial"/>
              <w:sz w:val="20"/>
              <w:szCs w:val="20"/>
            </w:rPr>
            <w:instrText xml:space="preserve"> CITATION Fun \l 9226 </w:instrText>
          </w:r>
          <w:r w:rsidRPr="00CC6121">
            <w:rPr>
              <w:rFonts w:ascii="Arial" w:hAnsi="Arial" w:cs="Arial"/>
              <w:sz w:val="20"/>
              <w:szCs w:val="20"/>
            </w:rPr>
            <w:fldChar w:fldCharType="separate"/>
          </w:r>
          <w:r w:rsidRPr="00CC6121">
            <w:rPr>
              <w:rFonts w:ascii="Arial" w:hAnsi="Arial" w:cs="Arial"/>
              <w:noProof/>
              <w:sz w:val="20"/>
              <w:szCs w:val="20"/>
            </w:rPr>
            <w:t>(Función Pública)</w:t>
          </w:r>
          <w:r w:rsidRPr="00CC6121">
            <w:rPr>
              <w:rFonts w:ascii="Arial" w:hAnsi="Arial" w:cs="Arial"/>
              <w:sz w:val="20"/>
              <w:szCs w:val="20"/>
            </w:rPr>
            <w:fldChar w:fldCharType="end"/>
          </w:r>
        </w:sdtContent>
      </w:sdt>
    </w:p>
    <w:p w14:paraId="5F63AF50"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La socialización y la calidad complementan esa base documental, porque un procedimiento contable no mejora solo por estar escrito, sino porque sus criterios son comprendidos, aplicados y evaluados de manera uniforme por quienes intervienen en él. El MIPG reconoce a la información y la comunicación como una dimensión articuladora que facilita la ejecución de las operaciones internas, y la CGN señala que el proceso contable se desarrolla bajo un enfoque de planeación, verificación permanente y retroalimentación orientada a la mejora continua. En consecuencia, este capítulo resulta útil para comprender cómo la documentación ordenada, la comunicación institucional de los cambios y la revisión de la calidad del proceso permiten consolidar prácticas contables más consistentes, recuperables y sostenibles, con mejores condiciones para el control, la evaluación y la toma de decisiones.</w:t>
      </w:r>
      <w:sdt>
        <w:sdtPr>
          <w:rPr>
            <w:rFonts w:ascii="Arial" w:hAnsi="Arial" w:cs="Arial"/>
            <w:sz w:val="20"/>
            <w:szCs w:val="20"/>
          </w:rPr>
          <w:id w:val="-1509128113"/>
          <w:citation/>
        </w:sdtPr>
        <w:sdtContent>
          <w:r w:rsidRPr="00CC6121">
            <w:rPr>
              <w:rFonts w:ascii="Arial" w:hAnsi="Arial" w:cs="Arial"/>
              <w:sz w:val="20"/>
              <w:szCs w:val="20"/>
            </w:rPr>
            <w:fldChar w:fldCharType="begin"/>
          </w:r>
          <w:r w:rsidRPr="00CC6121">
            <w:rPr>
              <w:rFonts w:ascii="Arial" w:hAnsi="Arial" w:cs="Arial"/>
              <w:sz w:val="20"/>
              <w:szCs w:val="20"/>
            </w:rPr>
            <w:instrText xml:space="preserve"> CITATION Fun20 \l 9226 </w:instrText>
          </w:r>
          <w:r w:rsidRPr="00CC6121">
            <w:rPr>
              <w:rFonts w:ascii="Arial" w:hAnsi="Arial" w:cs="Arial"/>
              <w:sz w:val="20"/>
              <w:szCs w:val="20"/>
            </w:rPr>
            <w:fldChar w:fldCharType="separate"/>
          </w:r>
          <w:r w:rsidRPr="00CC6121">
            <w:rPr>
              <w:rFonts w:ascii="Arial" w:hAnsi="Arial" w:cs="Arial"/>
              <w:noProof/>
              <w:sz w:val="20"/>
              <w:szCs w:val="20"/>
            </w:rPr>
            <w:t xml:space="preserve"> (Función Pública, 2020)</w:t>
          </w:r>
          <w:r w:rsidRPr="00CC6121">
            <w:rPr>
              <w:rFonts w:ascii="Arial" w:hAnsi="Arial" w:cs="Arial"/>
              <w:sz w:val="20"/>
              <w:szCs w:val="20"/>
            </w:rPr>
            <w:fldChar w:fldCharType="end"/>
          </w:r>
        </w:sdtContent>
      </w:sdt>
    </w:p>
    <w:p w14:paraId="0E4973B8" w14:textId="17D97C21" w:rsidR="001B7A4E" w:rsidRPr="001B7A4E" w:rsidRDefault="001B7A4E" w:rsidP="001B7A4E">
      <w:pPr>
        <w:pStyle w:val="Heading2"/>
        <w:rPr>
          <w:rFonts w:cs="Arial"/>
          <w:b/>
          <w:bCs/>
          <w:szCs w:val="20"/>
        </w:rPr>
      </w:pPr>
      <w:bookmarkStart w:id="1" w:name="_Toc226372408"/>
      <w:r w:rsidRPr="001B7A4E">
        <w:rPr>
          <w:rFonts w:cs="Arial"/>
          <w:b/>
          <w:bCs/>
          <w:szCs w:val="20"/>
        </w:rPr>
        <w:t>1.1 Socialización institucional de mejoras</w:t>
      </w:r>
      <w:bookmarkEnd w:id="1"/>
    </w:p>
    <w:p w14:paraId="32E923A6"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La socialización institucional de mejoras permite que los cambios incorporados al procedimiento contable sean comprendidos, apropiados y aplicados de manera uniforme por las personas y áreas que intervienen en el proceso. Su importancia radica en que evita que la mejora quede reducida a un documento o a una decisión interna del área contable, y favorece que el ajuste se convierta en práctica real dentro de la operación institucional. En el marco del MIPG, la dimensión de información y comunicación busca asegurar el flujo de información interna y externa, facilitar la operación de la entidad y fortalecer la trazabilidad de la gestión, mientras que la guía de gestión por procesos de Función Pública resalta que los procedimientos deben definirse con claridad, secuencia y responsables identificables.</w:t>
      </w:r>
    </w:p>
    <w:p w14:paraId="35096DEC"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 xml:space="preserve">En el contexto contable, socializar mejoras sirve para aclarar qué cambió en el procedimiento, por qué se introdujo el cambio, quiénes deben aplicarlo y qué evidencias permitirán comprobar su cumplimiento. Por eso, la socialización no debe entenderse solo como una comunicación general, sino como una actividad de articulación entre el diseño del procedimiento, la actuación del equipo y la verificación posterior de su aplicación. Esta lógica también es consistente con el procedimiento para la evaluación del control interno contable incorporado por la Resolución 347 de 2025, que exige </w:t>
      </w:r>
      <w:r w:rsidRPr="00CC6121">
        <w:rPr>
          <w:rFonts w:ascii="Arial" w:hAnsi="Arial" w:cs="Arial"/>
          <w:sz w:val="20"/>
          <w:szCs w:val="20"/>
        </w:rPr>
        <w:lastRenderedPageBreak/>
        <w:t>verificar la efectividad de las políticas para el desarrollo del proceso contable y formular acciones de mejora con seguimiento a su cumplimiento.</w:t>
      </w:r>
    </w:p>
    <w:p w14:paraId="45CACFAD" w14:textId="0060DDD3" w:rsidR="001B7A4E" w:rsidRPr="001B7A4E" w:rsidRDefault="001B7A4E" w:rsidP="001B7A4E">
      <w:pPr>
        <w:pStyle w:val="Heading3"/>
        <w:rPr>
          <w:rFonts w:cs="Arial"/>
          <w:b/>
          <w:bCs/>
          <w:szCs w:val="20"/>
        </w:rPr>
      </w:pPr>
      <w:bookmarkStart w:id="2" w:name="_Toc226372409"/>
      <w:r w:rsidRPr="001B7A4E">
        <w:rPr>
          <w:rFonts w:cs="Arial"/>
          <w:b/>
          <w:bCs/>
          <w:szCs w:val="20"/>
        </w:rPr>
        <w:t>1.1.1 Identificación y planificación de cambios, capacitación y comunicación al equipo, y verificación de la aplicación</w:t>
      </w:r>
      <w:bookmarkEnd w:id="2"/>
    </w:p>
    <w:p w14:paraId="108DEAA1"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La socialización de mejoras comienza con la identificación y planificación de los cambios que deben incorporarse al procedimiento contable. Esto significa reconocer qué aspecto del proceso necesita fortalecerse, qué riesgo o debilidad se busca corregir, qué actividades se verán afectadas, quiénes participarán en la aplicación del cambio y qué evidencias demostrarán su puesta en marcha. Función Pública explica que trabajar por procesos implica identificar los procesos necesarios, definir su objetivo, establecer la secuencia de actividades y desagregarlos en procedimientos o tareas; por ello, antes de comunicar una mejora conviene delimitar su alcance, sus responsables y sus resultados esperados.</w:t>
      </w:r>
      <w:sdt>
        <w:sdtPr>
          <w:rPr>
            <w:rFonts w:ascii="Arial" w:hAnsi="Arial" w:cs="Arial"/>
            <w:sz w:val="20"/>
            <w:szCs w:val="20"/>
          </w:rPr>
          <w:id w:val="-1870588496"/>
          <w:citation/>
        </w:sdtPr>
        <w:sdtContent>
          <w:r w:rsidRPr="00CC6121">
            <w:rPr>
              <w:rFonts w:ascii="Arial" w:hAnsi="Arial" w:cs="Arial"/>
              <w:sz w:val="20"/>
              <w:szCs w:val="20"/>
            </w:rPr>
            <w:fldChar w:fldCharType="begin"/>
          </w:r>
          <w:r w:rsidRPr="00CC6121">
            <w:rPr>
              <w:rFonts w:ascii="Arial" w:hAnsi="Arial" w:cs="Arial"/>
              <w:sz w:val="20"/>
              <w:szCs w:val="20"/>
            </w:rPr>
            <w:instrText xml:space="preserve"> CITATION Fun20 \l 9226 </w:instrText>
          </w:r>
          <w:r w:rsidRPr="00CC6121">
            <w:rPr>
              <w:rFonts w:ascii="Arial" w:hAnsi="Arial" w:cs="Arial"/>
              <w:sz w:val="20"/>
              <w:szCs w:val="20"/>
            </w:rPr>
            <w:fldChar w:fldCharType="separate"/>
          </w:r>
          <w:r w:rsidRPr="00CC6121">
            <w:rPr>
              <w:rFonts w:ascii="Arial" w:hAnsi="Arial" w:cs="Arial"/>
              <w:noProof/>
              <w:sz w:val="20"/>
              <w:szCs w:val="20"/>
            </w:rPr>
            <w:t xml:space="preserve"> (Función Pública, 2020)</w:t>
          </w:r>
          <w:r w:rsidRPr="00CC6121">
            <w:rPr>
              <w:rFonts w:ascii="Arial" w:hAnsi="Arial" w:cs="Arial"/>
              <w:sz w:val="20"/>
              <w:szCs w:val="20"/>
            </w:rPr>
            <w:fldChar w:fldCharType="end"/>
          </w:r>
        </w:sdtContent>
      </w:sdt>
    </w:p>
    <w:p w14:paraId="2F6EE09B"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Una vez definido el cambio, la capacitación y la comunicación al equipo permiten trasladar esa mejora al plano operativo. En esta fase no basta con informar que el procedimiento fue modificado; es necesario explicar el sentido del ajuste, orientar sobre la forma correcta de aplicarlo y resolver dudas sobre documentos, formatos, tiempos, responsables o puntos de control. El Manual Operativo MIPG señala que la dimensión de información y comunicación apoya la ejecución de las operaciones institucionales y que la información debe circular por canales adecuados para respaldar la gestión; desde esa perspectiva, la capacitación breve, la orientación práctica y la actualización de instructivos o guías internas son mecanismos útiles para que la mejora sea comprendida y ejecutada de manera uniforme.</w:t>
      </w:r>
    </w:p>
    <w:p w14:paraId="4BAB640A"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En los procesos contables, esta capacitación resulta especialmente útil porque muchas diferencias o reprocesos no se originan únicamente en errores técnicos de registro, sino en fallas de interpretación del procedimiento, en ausencia de criterios compartidos o en desconocimiento de nuevas exigencias documentales. Por eso, comunicar al equipo implica traducir la mejora a instrucciones aplicables: qué soporte debe revisarse, qué formato cambia, qué control adicional se incorpora, qué plazo debe cumplirse y qué consecuencias tiene no aplicar el nuevo lineamiento. La guía de gestión por procesos de Función Pública insiste en que los procedimientos deben describirse de forma comprensible, con actividades claras y responsables definidos, precisamente para facilitar su ejecución y posterior revisión.</w:t>
      </w:r>
    </w:p>
    <w:p w14:paraId="0929A349"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La socialización de mejoras no se completa, sin embargo, con la sola comunicación. También es necesario verificar la aplicación del cambio, es decir, comprobar si el equipo lo está utilizando, si el procedimiento modificado se está ejecutando como fue previsto y si produjo el efecto esperado sobre la calidad del proceso contable. El procedimiento para la evaluación del control interno contable incorporado por la Resolución 347 de 2025 establece entre sus objetivos comprobar la efectividad de las políticas del proceso contable, verificar la existencia de indicadores para evaluar resultados y formular acciones de mejora con seguimiento a su cumplimiento. Esto significa que la mejora debe observarse en la práctica mediante revisión de evidencias, seguimiento de resultados y verificación de la disminución de errores, omisiones o reprocesos.</w:t>
      </w:r>
    </w:p>
    <w:p w14:paraId="017ED4C0" w14:textId="1F2AA32F"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 xml:space="preserve">En consecuencia, la identificación y planificación de cambios, la capacitación y comunicación al equipo, y la verificación de la aplicación forman una sola secuencia de trabajo. Primero se define qué debe cambiar; después se transmite el cambio a quienes ejecutan el proceso; y finalmente se </w:t>
      </w:r>
      <w:r w:rsidRPr="00CC6121">
        <w:rPr>
          <w:rFonts w:ascii="Arial" w:hAnsi="Arial" w:cs="Arial"/>
          <w:sz w:val="20"/>
          <w:szCs w:val="20"/>
        </w:rPr>
        <w:lastRenderedPageBreak/>
        <w:t>comprueba si la mejora fue apropiada y si fortaleció realmente el procedimiento contable. Estudiar este tema permite comprender que una mejora institucional no se consolida por existir en un documento, sino porque logra traducirse en práctica uniforme, evidencia verificable y resultados observables dentro del proceso.</w:t>
      </w:r>
    </w:p>
    <w:p w14:paraId="79B48B62"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La siguiente figura presenta, de manera esquemática, la secuencia básica que debe seguirse para socializar una mejora dentro del procedimiento contable. Su utilidad consiste en mostrar que la socialización no se limita a informar un cambio, sino que comprende la identificación de la necesidad, la planeación de la mejora, la capacitación del equipo y la verificación de su aplicación, de manera que el ajuste pueda incorporarse realmente a la operación institucional.</w:t>
      </w:r>
    </w:p>
    <w:p w14:paraId="1E54334E" w14:textId="77777777" w:rsidR="001B7A4E" w:rsidRPr="00CC6121" w:rsidRDefault="001B7A4E" w:rsidP="001B7A4E">
      <w:pPr>
        <w:pStyle w:val="NormalWeb"/>
        <w:spacing w:line="276" w:lineRule="auto"/>
        <w:jc w:val="both"/>
        <w:rPr>
          <w:rFonts w:ascii="Arial" w:hAnsi="Arial" w:cs="Arial"/>
          <w:b/>
          <w:bCs/>
          <w:sz w:val="20"/>
          <w:szCs w:val="20"/>
        </w:rPr>
      </w:pPr>
      <w:r w:rsidRPr="00CC6121">
        <w:rPr>
          <w:rFonts w:ascii="Arial" w:hAnsi="Arial" w:cs="Arial"/>
          <w:b/>
          <w:bCs/>
          <w:sz w:val="20"/>
          <w:szCs w:val="20"/>
        </w:rPr>
        <w:t xml:space="preserve">Figura </w:t>
      </w:r>
      <w:r>
        <w:rPr>
          <w:rFonts w:ascii="Arial" w:hAnsi="Arial" w:cs="Arial"/>
          <w:b/>
          <w:bCs/>
          <w:sz w:val="20"/>
          <w:szCs w:val="20"/>
        </w:rPr>
        <w:t>1</w:t>
      </w:r>
      <w:r w:rsidRPr="00CC6121">
        <w:rPr>
          <w:rFonts w:ascii="Arial" w:hAnsi="Arial" w:cs="Arial"/>
          <w:b/>
          <w:bCs/>
          <w:sz w:val="20"/>
          <w:szCs w:val="20"/>
        </w:rPr>
        <w:t>.</w:t>
      </w:r>
      <w:r w:rsidRPr="00CC6121">
        <w:rPr>
          <w:rFonts w:ascii="Arial" w:hAnsi="Arial" w:cs="Arial"/>
          <w:sz w:val="20"/>
          <w:szCs w:val="20"/>
        </w:rPr>
        <w:t xml:space="preserve"> Secuencia de socialización institucional de mejoras</w:t>
      </w:r>
      <w:r w:rsidRPr="00CC6121">
        <w:rPr>
          <w:rFonts w:ascii="Arial" w:hAnsi="Arial" w:cs="Arial"/>
          <w:b/>
          <w:bCs/>
          <w:noProof/>
          <w:sz w:val="20"/>
          <w:szCs w:val="20"/>
        </w:rPr>
        <w:t xml:space="preserve"> </w:t>
      </w:r>
      <w:r w:rsidRPr="00CC6121">
        <w:rPr>
          <w:rFonts w:ascii="Arial" w:hAnsi="Arial" w:cs="Arial"/>
          <w:b/>
          <w:bCs/>
          <w:noProof/>
          <w:sz w:val="20"/>
          <w:szCs w:val="20"/>
        </w:rPr>
        <w:drawing>
          <wp:anchor distT="0" distB="0" distL="114300" distR="114300" simplePos="0" relativeHeight="251659264" behindDoc="1" locked="0" layoutInCell="1" allowOverlap="1" wp14:anchorId="40F8C3D8" wp14:editId="227E19A6">
            <wp:simplePos x="0" y="0"/>
            <wp:positionH relativeFrom="margin">
              <wp:align>left</wp:align>
            </wp:positionH>
            <wp:positionV relativeFrom="paragraph">
              <wp:posOffset>192506</wp:posOffset>
            </wp:positionV>
            <wp:extent cx="5612130" cy="1020445"/>
            <wp:effectExtent l="0" t="0" r="7620" b="8255"/>
            <wp:wrapTight wrapText="bothSides">
              <wp:wrapPolygon edited="0">
                <wp:start x="0" y="0"/>
                <wp:lineTo x="0" y="21371"/>
                <wp:lineTo x="21556" y="21371"/>
                <wp:lineTo x="21556" y="0"/>
                <wp:lineTo x="0" y="0"/>
              </wp:wrapPolygon>
            </wp:wrapTight>
            <wp:docPr id="7" name="Imagen 7" descr="Esquema horizontal que representa la secuencia de socialización institucional de mejoras, desde la identificación del cambio hasta la verificación de su aplicación y el seguimiento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squema horizontal que representa la secuencia de socialización institucional de mejoras, desde la identificación del cambio hasta la verificación de su aplicación y el seguimiento posterior."/>
                    <pic:cNvPicPr/>
                  </pic:nvPicPr>
                  <pic:blipFill>
                    <a:blip r:embed="rId8">
                      <a:extLst>
                        <a:ext uri="{28A0092B-C50C-407E-A947-70E740481C1C}">
                          <a14:useLocalDpi xmlns:a14="http://schemas.microsoft.com/office/drawing/2010/main" val="0"/>
                        </a:ext>
                      </a:extLst>
                    </a:blip>
                    <a:stretch>
                      <a:fillRect/>
                    </a:stretch>
                  </pic:blipFill>
                  <pic:spPr>
                    <a:xfrm>
                      <a:off x="0" y="0"/>
                      <a:ext cx="5612130" cy="1020445"/>
                    </a:xfrm>
                    <a:prstGeom prst="rect">
                      <a:avLst/>
                    </a:prstGeom>
                  </pic:spPr>
                </pic:pic>
              </a:graphicData>
            </a:graphic>
          </wp:anchor>
        </w:drawing>
      </w:r>
    </w:p>
    <w:p w14:paraId="186BC003" w14:textId="41C314C2" w:rsidR="001B7A4E" w:rsidRPr="00CC6121" w:rsidRDefault="001B7A4E" w:rsidP="001B7A4E">
      <w:pPr>
        <w:pStyle w:val="NormalWeb"/>
        <w:spacing w:line="276" w:lineRule="auto"/>
        <w:jc w:val="both"/>
        <w:rPr>
          <w:rFonts w:ascii="Arial" w:hAnsi="Arial" w:cs="Arial"/>
          <w:b/>
          <w:bCs/>
          <w:sz w:val="20"/>
          <w:szCs w:val="20"/>
        </w:rPr>
      </w:pPr>
    </w:p>
    <w:p w14:paraId="78B1FED7" w14:textId="74003C6A"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b/>
          <w:bCs/>
          <w:sz w:val="20"/>
          <w:szCs w:val="20"/>
        </w:rPr>
        <w:t>Tabla 1.</w:t>
      </w:r>
      <w:r w:rsidRPr="00CC6121">
        <w:rPr>
          <w:rFonts w:ascii="Arial" w:hAnsi="Arial" w:cs="Arial"/>
          <w:sz w:val="20"/>
          <w:szCs w:val="20"/>
        </w:rPr>
        <w:t xml:space="preserve"> Etapas de la socialización institucional de mejoras</w:t>
      </w:r>
    </w:p>
    <w:tbl>
      <w:tblPr>
        <w:tblStyle w:val="TableGrid"/>
        <w:tblW w:w="0" w:type="auto"/>
        <w:tblLook w:val="04A0" w:firstRow="1" w:lastRow="0" w:firstColumn="1" w:lastColumn="0" w:noHBand="0" w:noVBand="1"/>
      </w:tblPr>
      <w:tblGrid>
        <w:gridCol w:w="2259"/>
        <w:gridCol w:w="2168"/>
        <w:gridCol w:w="1970"/>
        <w:gridCol w:w="2431"/>
      </w:tblGrid>
      <w:tr w:rsidR="001B7A4E" w:rsidRPr="003A6128" w14:paraId="6EF43355" w14:textId="77777777" w:rsidTr="00982D7B">
        <w:tc>
          <w:tcPr>
            <w:tcW w:w="0" w:type="auto"/>
            <w:hideMark/>
          </w:tcPr>
          <w:p w14:paraId="5F8A7072" w14:textId="77777777" w:rsidR="001B7A4E" w:rsidRPr="003A6128" w:rsidRDefault="001B7A4E" w:rsidP="00982D7B">
            <w:pPr>
              <w:spacing w:line="276" w:lineRule="auto"/>
              <w:contextualSpacing w:val="0"/>
              <w:jc w:val="center"/>
              <w:rPr>
                <w:rFonts w:eastAsia="Times New Roman" w:cs="Arial"/>
                <w:b/>
                <w:bCs/>
                <w:szCs w:val="20"/>
                <w:lang w:eastAsia="es-CO"/>
              </w:rPr>
            </w:pPr>
            <w:r w:rsidRPr="003A6128">
              <w:rPr>
                <w:rFonts w:eastAsia="Times New Roman" w:cs="Arial"/>
                <w:b/>
                <w:bCs/>
                <w:szCs w:val="20"/>
                <w:lang w:eastAsia="es-CO"/>
              </w:rPr>
              <w:t>Etapa</w:t>
            </w:r>
          </w:p>
        </w:tc>
        <w:tc>
          <w:tcPr>
            <w:tcW w:w="0" w:type="auto"/>
            <w:hideMark/>
          </w:tcPr>
          <w:p w14:paraId="5D08A672" w14:textId="77777777" w:rsidR="001B7A4E" w:rsidRPr="003A6128" w:rsidRDefault="001B7A4E" w:rsidP="00982D7B">
            <w:pPr>
              <w:spacing w:line="276" w:lineRule="auto"/>
              <w:contextualSpacing w:val="0"/>
              <w:jc w:val="center"/>
              <w:rPr>
                <w:rFonts w:eastAsia="Times New Roman" w:cs="Arial"/>
                <w:b/>
                <w:bCs/>
                <w:szCs w:val="20"/>
                <w:lang w:eastAsia="es-CO"/>
              </w:rPr>
            </w:pPr>
            <w:r w:rsidRPr="003A6128">
              <w:rPr>
                <w:rFonts w:eastAsia="Times New Roman" w:cs="Arial"/>
                <w:b/>
                <w:bCs/>
                <w:szCs w:val="20"/>
                <w:lang w:eastAsia="es-CO"/>
              </w:rPr>
              <w:t>Propósito</w:t>
            </w:r>
          </w:p>
        </w:tc>
        <w:tc>
          <w:tcPr>
            <w:tcW w:w="0" w:type="auto"/>
            <w:hideMark/>
          </w:tcPr>
          <w:p w14:paraId="2FE645DF" w14:textId="77777777" w:rsidR="001B7A4E" w:rsidRPr="003A6128" w:rsidRDefault="001B7A4E" w:rsidP="00982D7B">
            <w:pPr>
              <w:spacing w:line="276" w:lineRule="auto"/>
              <w:contextualSpacing w:val="0"/>
              <w:jc w:val="center"/>
              <w:rPr>
                <w:rFonts w:eastAsia="Times New Roman" w:cs="Arial"/>
                <w:b/>
                <w:bCs/>
                <w:szCs w:val="20"/>
                <w:lang w:eastAsia="es-CO"/>
              </w:rPr>
            </w:pPr>
            <w:r w:rsidRPr="003A6128">
              <w:rPr>
                <w:rFonts w:eastAsia="Times New Roman" w:cs="Arial"/>
                <w:b/>
                <w:bCs/>
                <w:szCs w:val="20"/>
                <w:lang w:eastAsia="es-CO"/>
              </w:rPr>
              <w:t>Acción principal</w:t>
            </w:r>
          </w:p>
        </w:tc>
        <w:tc>
          <w:tcPr>
            <w:tcW w:w="0" w:type="auto"/>
            <w:hideMark/>
          </w:tcPr>
          <w:p w14:paraId="3013496A" w14:textId="77777777" w:rsidR="001B7A4E" w:rsidRPr="003A6128" w:rsidRDefault="001B7A4E" w:rsidP="00982D7B">
            <w:pPr>
              <w:spacing w:line="276" w:lineRule="auto"/>
              <w:contextualSpacing w:val="0"/>
              <w:jc w:val="center"/>
              <w:rPr>
                <w:rFonts w:eastAsia="Times New Roman" w:cs="Arial"/>
                <w:b/>
                <w:bCs/>
                <w:szCs w:val="20"/>
                <w:lang w:eastAsia="es-CO"/>
              </w:rPr>
            </w:pPr>
            <w:r w:rsidRPr="003A6128">
              <w:rPr>
                <w:rFonts w:eastAsia="Times New Roman" w:cs="Arial"/>
                <w:b/>
                <w:bCs/>
                <w:szCs w:val="20"/>
                <w:lang w:eastAsia="es-CO"/>
              </w:rPr>
              <w:t>Evidencia esperada</w:t>
            </w:r>
          </w:p>
        </w:tc>
      </w:tr>
      <w:tr w:rsidR="001B7A4E" w:rsidRPr="003A6128" w14:paraId="1991412D" w14:textId="77777777" w:rsidTr="00982D7B">
        <w:tc>
          <w:tcPr>
            <w:tcW w:w="0" w:type="auto"/>
            <w:hideMark/>
          </w:tcPr>
          <w:p w14:paraId="29623D31"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Identificación y planificación de cambios</w:t>
            </w:r>
          </w:p>
        </w:tc>
        <w:tc>
          <w:tcPr>
            <w:tcW w:w="0" w:type="auto"/>
            <w:hideMark/>
          </w:tcPr>
          <w:p w14:paraId="38D23746"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Definir qué debe ajustarse y cómo se implementará</w:t>
            </w:r>
          </w:p>
        </w:tc>
        <w:tc>
          <w:tcPr>
            <w:tcW w:w="0" w:type="auto"/>
            <w:hideMark/>
          </w:tcPr>
          <w:p w14:paraId="739F544A"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Precisar alcance, responsables y efectos esperados</w:t>
            </w:r>
          </w:p>
        </w:tc>
        <w:tc>
          <w:tcPr>
            <w:tcW w:w="0" w:type="auto"/>
            <w:hideMark/>
          </w:tcPr>
          <w:p w14:paraId="42718F3F"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Plan de cambio, ajustes al procedimiento, responsables definidos</w:t>
            </w:r>
          </w:p>
        </w:tc>
      </w:tr>
      <w:tr w:rsidR="001B7A4E" w:rsidRPr="003A6128" w14:paraId="513921F0" w14:textId="77777777" w:rsidTr="00982D7B">
        <w:tc>
          <w:tcPr>
            <w:tcW w:w="0" w:type="auto"/>
            <w:hideMark/>
          </w:tcPr>
          <w:p w14:paraId="747E144A"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Capacitación y comunicación al equipo</w:t>
            </w:r>
          </w:p>
        </w:tc>
        <w:tc>
          <w:tcPr>
            <w:tcW w:w="0" w:type="auto"/>
            <w:hideMark/>
          </w:tcPr>
          <w:p w14:paraId="23DD5CE3"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Asegurar comprensión y aplicación uniforme</w:t>
            </w:r>
          </w:p>
        </w:tc>
        <w:tc>
          <w:tcPr>
            <w:tcW w:w="0" w:type="auto"/>
            <w:hideMark/>
          </w:tcPr>
          <w:p w14:paraId="7E4129A2"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Orientar al personal, actualizar instrucciones y aclarar dudas</w:t>
            </w:r>
          </w:p>
        </w:tc>
        <w:tc>
          <w:tcPr>
            <w:tcW w:w="0" w:type="auto"/>
            <w:hideMark/>
          </w:tcPr>
          <w:p w14:paraId="24E71C65"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Actas, guías, correos, listas de asistencia o soportes de comunicación</w:t>
            </w:r>
          </w:p>
        </w:tc>
      </w:tr>
      <w:tr w:rsidR="001B7A4E" w:rsidRPr="003A6128" w14:paraId="3A535B25" w14:textId="77777777" w:rsidTr="00982D7B">
        <w:tc>
          <w:tcPr>
            <w:tcW w:w="0" w:type="auto"/>
            <w:hideMark/>
          </w:tcPr>
          <w:p w14:paraId="17D7C676"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Verificación de la aplicación</w:t>
            </w:r>
          </w:p>
        </w:tc>
        <w:tc>
          <w:tcPr>
            <w:tcW w:w="0" w:type="auto"/>
            <w:hideMark/>
          </w:tcPr>
          <w:p w14:paraId="4BE56147"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Comprobar si la mejora fue incorporada al proceso</w:t>
            </w:r>
          </w:p>
        </w:tc>
        <w:tc>
          <w:tcPr>
            <w:tcW w:w="0" w:type="auto"/>
            <w:hideMark/>
          </w:tcPr>
          <w:p w14:paraId="39D1B46A"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Revisar cumplimiento, uso del cambio y resultados iniciales</w:t>
            </w:r>
          </w:p>
        </w:tc>
        <w:tc>
          <w:tcPr>
            <w:tcW w:w="0" w:type="auto"/>
            <w:hideMark/>
          </w:tcPr>
          <w:p w14:paraId="3D031542"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Seguimiento, listas de chequeo, disminución de errores o reprocesos</w:t>
            </w:r>
          </w:p>
        </w:tc>
      </w:tr>
    </w:tbl>
    <w:p w14:paraId="2ADC6FF0"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Nota: Elaboración con base en el Manual Operativo MIPG, la guía de gestión por procesos de Función Pública y el procedimiento para la evaluación del control interno contable de la Contaduría General de la Nación, en los que se destaca la necesidad de planificar los cambios, comunicarlos al equipo y verificar su aplicación dentro de los procesos institucionales.</w:t>
      </w:r>
    </w:p>
    <w:p w14:paraId="65BF0754" w14:textId="408286E6" w:rsidR="001B7A4E" w:rsidRPr="001B7A4E" w:rsidRDefault="001B7A4E" w:rsidP="001B7A4E">
      <w:pPr>
        <w:pStyle w:val="Heading2"/>
        <w:spacing w:line="276" w:lineRule="auto"/>
        <w:rPr>
          <w:rFonts w:cs="Arial"/>
          <w:b/>
          <w:bCs/>
          <w:szCs w:val="20"/>
        </w:rPr>
      </w:pPr>
      <w:bookmarkStart w:id="3" w:name="_Toc226372410"/>
      <w:r w:rsidRPr="001B7A4E">
        <w:rPr>
          <w:rFonts w:cs="Arial"/>
          <w:b/>
          <w:bCs/>
          <w:szCs w:val="20"/>
        </w:rPr>
        <w:t>1.2 Documentación de procedimientos contables</w:t>
      </w:r>
      <w:bookmarkEnd w:id="3"/>
    </w:p>
    <w:p w14:paraId="6C8903BF" w14:textId="77777777" w:rsidR="001B7A4E" w:rsidRPr="00CC6121" w:rsidRDefault="001B7A4E" w:rsidP="001B7A4E">
      <w:pPr>
        <w:spacing w:line="276" w:lineRule="auto"/>
        <w:rPr>
          <w:rFonts w:cs="Arial"/>
          <w:szCs w:val="20"/>
        </w:rPr>
      </w:pPr>
    </w:p>
    <w:p w14:paraId="5F61953F" w14:textId="77777777" w:rsidR="001B7A4E" w:rsidRPr="00CC6121" w:rsidRDefault="001B7A4E" w:rsidP="001B7A4E">
      <w:pPr>
        <w:spacing w:line="276" w:lineRule="auto"/>
        <w:rPr>
          <w:rFonts w:cs="Arial"/>
          <w:szCs w:val="20"/>
        </w:rPr>
      </w:pPr>
      <w:r w:rsidRPr="00CC6121">
        <w:rPr>
          <w:rFonts w:cs="Arial"/>
          <w:szCs w:val="20"/>
        </w:rPr>
        <w:t xml:space="preserve">La documentación de procedimientos contables es importante porque organiza de manera estable la forma en que se recibe, revisa, registra, ajusta y archiva la información. Su utilidad radica en que conserva la memoria institucional, facilita la consulta posterior, respalda la revisión interna o externa </w:t>
      </w:r>
      <w:r w:rsidRPr="00CC6121">
        <w:rPr>
          <w:rFonts w:cs="Arial"/>
          <w:szCs w:val="20"/>
        </w:rPr>
        <w:lastRenderedPageBreak/>
        <w:t>y fortalece la trazabilidad del proceso. La Ley 594 de 2000 establece el marco general de la función archivística y la gestión documental, mientras que el Decreto 2649 de 1993 exige que los soportes y comprobantes permitan verificar las partidas registradas y guarden correspondencia con los asientos en los libros y auxiliares.</w:t>
      </w:r>
      <w:sdt>
        <w:sdtPr>
          <w:rPr>
            <w:rFonts w:cs="Arial"/>
            <w:szCs w:val="20"/>
          </w:rPr>
          <w:id w:val="-1880464967"/>
          <w:citation/>
        </w:sdtPr>
        <w:sdtContent>
          <w:r w:rsidRPr="00CC6121">
            <w:rPr>
              <w:rFonts w:cs="Arial"/>
              <w:szCs w:val="20"/>
            </w:rPr>
            <w:fldChar w:fldCharType="begin"/>
          </w:r>
          <w:r w:rsidRPr="00CC6121">
            <w:rPr>
              <w:rFonts w:cs="Arial"/>
              <w:szCs w:val="20"/>
            </w:rPr>
            <w:instrText xml:space="preserve">CITATION Arc001 \n  \l 9226 </w:instrText>
          </w:r>
          <w:r w:rsidRPr="00CC6121">
            <w:rPr>
              <w:rFonts w:cs="Arial"/>
              <w:szCs w:val="20"/>
            </w:rPr>
            <w:fldChar w:fldCharType="separate"/>
          </w:r>
          <w:r w:rsidRPr="00CC6121">
            <w:rPr>
              <w:rFonts w:cs="Arial"/>
              <w:noProof/>
              <w:szCs w:val="20"/>
            </w:rPr>
            <w:t xml:space="preserve"> (Ley 594, 2000)</w:t>
          </w:r>
          <w:r w:rsidRPr="00CC6121">
            <w:rPr>
              <w:rFonts w:cs="Arial"/>
              <w:szCs w:val="20"/>
            </w:rPr>
            <w:fldChar w:fldCharType="end"/>
          </w:r>
        </w:sdtContent>
      </w:sdt>
    </w:p>
    <w:p w14:paraId="3DA76A3A" w14:textId="77777777" w:rsidR="001B7A4E" w:rsidRPr="00CC6121" w:rsidRDefault="001B7A4E" w:rsidP="001B7A4E">
      <w:pPr>
        <w:spacing w:line="276" w:lineRule="auto"/>
        <w:rPr>
          <w:rFonts w:cs="Arial"/>
          <w:szCs w:val="20"/>
        </w:rPr>
      </w:pPr>
    </w:p>
    <w:p w14:paraId="5AA312D4" w14:textId="77777777" w:rsidR="001B7A4E" w:rsidRPr="00CC6121" w:rsidRDefault="001B7A4E" w:rsidP="001B7A4E">
      <w:pPr>
        <w:spacing w:line="276" w:lineRule="auto"/>
        <w:rPr>
          <w:rFonts w:cs="Arial"/>
          <w:szCs w:val="20"/>
        </w:rPr>
      </w:pPr>
      <w:r w:rsidRPr="00CC6121">
        <w:rPr>
          <w:rFonts w:cs="Arial"/>
          <w:szCs w:val="20"/>
        </w:rPr>
        <w:t>En el contexto contable, documentar un procedimiento no significa solo redactar instrucciones, sino dejar evidencia clara sobre actividades, responsables, controles, formatos y registros asociados. La guía de gestión por procesos de Función Pública indica que los procedimientos deben describirse con claridad, secuencia y responsables definidos, y que pueden apoyarse en diagramas de flujo y otras herramientas para facilitar su comprensión y aplicación. Por ello, la documentación sirve para estandarizar el proceso, reducir la dependencia de prácticas informales y facilitar su actualización cuando la operación o el control así lo requieran.</w:t>
      </w:r>
      <w:sdt>
        <w:sdtPr>
          <w:rPr>
            <w:rFonts w:cs="Arial"/>
            <w:szCs w:val="20"/>
          </w:rPr>
          <w:id w:val="84047228"/>
          <w:citation/>
        </w:sdtPr>
        <w:sdtContent>
          <w:r w:rsidRPr="00CC6121">
            <w:rPr>
              <w:rFonts w:cs="Arial"/>
              <w:szCs w:val="20"/>
            </w:rPr>
            <w:fldChar w:fldCharType="begin"/>
          </w:r>
          <w:r w:rsidRPr="00CC6121">
            <w:rPr>
              <w:rFonts w:cs="Arial"/>
              <w:szCs w:val="20"/>
            </w:rPr>
            <w:instrText xml:space="preserve"> CITATION Fun20 \l 9226 </w:instrText>
          </w:r>
          <w:r w:rsidRPr="00CC6121">
            <w:rPr>
              <w:rFonts w:cs="Arial"/>
              <w:szCs w:val="20"/>
            </w:rPr>
            <w:fldChar w:fldCharType="separate"/>
          </w:r>
          <w:r w:rsidRPr="00CC6121">
            <w:rPr>
              <w:rFonts w:cs="Arial"/>
              <w:noProof/>
              <w:szCs w:val="20"/>
            </w:rPr>
            <w:t xml:space="preserve"> (Función Pública, 2020)</w:t>
          </w:r>
          <w:r w:rsidRPr="00CC6121">
            <w:rPr>
              <w:rFonts w:cs="Arial"/>
              <w:szCs w:val="20"/>
            </w:rPr>
            <w:fldChar w:fldCharType="end"/>
          </w:r>
        </w:sdtContent>
      </w:sdt>
    </w:p>
    <w:p w14:paraId="3D162E1A" w14:textId="77777777" w:rsidR="001B7A4E" w:rsidRPr="00CC6121" w:rsidRDefault="001B7A4E" w:rsidP="001B7A4E">
      <w:pPr>
        <w:spacing w:line="276" w:lineRule="auto"/>
        <w:rPr>
          <w:rFonts w:cs="Arial"/>
          <w:szCs w:val="20"/>
        </w:rPr>
      </w:pPr>
    </w:p>
    <w:p w14:paraId="16F3622E" w14:textId="7F3731CC" w:rsidR="001B7A4E" w:rsidRPr="001B7A4E" w:rsidRDefault="001B7A4E" w:rsidP="001B7A4E">
      <w:pPr>
        <w:pStyle w:val="Heading3"/>
        <w:spacing w:line="276" w:lineRule="auto"/>
        <w:rPr>
          <w:rFonts w:cs="Arial"/>
          <w:b/>
          <w:bCs/>
          <w:szCs w:val="20"/>
        </w:rPr>
      </w:pPr>
      <w:bookmarkStart w:id="4" w:name="_Toc226372411"/>
      <w:r w:rsidRPr="001B7A4E">
        <w:rPr>
          <w:rFonts w:cs="Arial"/>
          <w:b/>
          <w:bCs/>
          <w:szCs w:val="20"/>
        </w:rPr>
        <w:t>1.2.1 Manuales, procedimientos, formularios, flujos, anexos y controles, seguimiento, retroalimentación y actualización</w:t>
      </w:r>
      <w:bookmarkEnd w:id="4"/>
    </w:p>
    <w:p w14:paraId="120A442C"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La documentación del procedimiento contable integra varios instrumentos que cumplen funciones complementarias. Los manuales y procedimientos detallados permiten explicar cómo debe ejecutarse el proceso, en qué secuencia, con qué responsables y bajo qué criterios de control. Función Pública señala que la gestión por procesos exige identificar actividades fundamentales, ordenarlas secuencialmente y documentarlas de manera comprensible, mientras que el Manual Operativo MIPG destaca el trabajo por procesos como uno de los pilares para mejorar la gestión institucional. En consecuencia, los manuales y procedimientos sirven para dar estabilidad al proceso contable y orientar su ejecución de forma uniforme.</w:t>
      </w:r>
      <w:sdt>
        <w:sdtPr>
          <w:rPr>
            <w:rFonts w:ascii="Arial" w:hAnsi="Arial" w:cs="Arial"/>
            <w:sz w:val="20"/>
            <w:szCs w:val="20"/>
          </w:rPr>
          <w:id w:val="1145163743"/>
          <w:citation/>
        </w:sdtPr>
        <w:sdtContent>
          <w:r w:rsidRPr="00CC6121">
            <w:rPr>
              <w:rFonts w:ascii="Arial" w:hAnsi="Arial" w:cs="Arial"/>
              <w:sz w:val="20"/>
              <w:szCs w:val="20"/>
            </w:rPr>
            <w:fldChar w:fldCharType="begin"/>
          </w:r>
          <w:r w:rsidRPr="00CC6121">
            <w:rPr>
              <w:rFonts w:ascii="Arial" w:hAnsi="Arial" w:cs="Arial"/>
              <w:sz w:val="20"/>
              <w:szCs w:val="20"/>
            </w:rPr>
            <w:instrText xml:space="preserve"> CITATION Fun20 \l 9226 </w:instrText>
          </w:r>
          <w:r w:rsidRPr="00CC6121">
            <w:rPr>
              <w:rFonts w:ascii="Arial" w:hAnsi="Arial" w:cs="Arial"/>
              <w:sz w:val="20"/>
              <w:szCs w:val="20"/>
            </w:rPr>
            <w:fldChar w:fldCharType="separate"/>
          </w:r>
          <w:r w:rsidRPr="00CC6121">
            <w:rPr>
              <w:rFonts w:ascii="Arial" w:hAnsi="Arial" w:cs="Arial"/>
              <w:noProof/>
              <w:sz w:val="20"/>
              <w:szCs w:val="20"/>
            </w:rPr>
            <w:t xml:space="preserve"> (Función Pública, 2020)</w:t>
          </w:r>
          <w:r w:rsidRPr="00CC6121">
            <w:rPr>
              <w:rFonts w:ascii="Arial" w:hAnsi="Arial" w:cs="Arial"/>
              <w:sz w:val="20"/>
              <w:szCs w:val="20"/>
            </w:rPr>
            <w:fldChar w:fldCharType="end"/>
          </w:r>
        </w:sdtContent>
      </w:sdt>
    </w:p>
    <w:p w14:paraId="2EE60E13"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Junto a ellos, los formularios, flujos, anexos y controles convierten el procedimiento en una herramienta operativa verificable. Los formularios permiten capturar información de manera homogénea; los flujos muestran el recorrido de actividades y decisiones; los anexos reúnen soportes o aclaraciones necesarias; y los controles ayudan a comprobar que cada etapa se cumple con la evidencia requerida. Esta lógica es coherente con el Decreto 2649 de 1993, que exige soportes verificables, comprobantes previos y correspondencia entre documentos y asientos contables, y con los criterios archivísticos de la Ley 594 de 2000, orientados a organizar la documentación desde su origen hasta su disposición final.</w:t>
      </w:r>
      <w:sdt>
        <w:sdtPr>
          <w:rPr>
            <w:rFonts w:ascii="Arial" w:hAnsi="Arial" w:cs="Arial"/>
            <w:sz w:val="20"/>
            <w:szCs w:val="20"/>
          </w:rPr>
          <w:id w:val="162213331"/>
          <w:citation/>
        </w:sdtPr>
        <w:sdtContent>
          <w:r w:rsidRPr="00CC6121">
            <w:rPr>
              <w:rFonts w:ascii="Arial" w:hAnsi="Arial" w:cs="Arial"/>
              <w:sz w:val="20"/>
              <w:szCs w:val="20"/>
            </w:rPr>
            <w:fldChar w:fldCharType="begin"/>
          </w:r>
          <w:r w:rsidRPr="00CC6121">
            <w:rPr>
              <w:rFonts w:ascii="Arial" w:hAnsi="Arial" w:cs="Arial"/>
              <w:sz w:val="20"/>
              <w:szCs w:val="20"/>
            </w:rPr>
            <w:instrText xml:space="preserve">CITATION Pre934 \n  \l 9226 </w:instrText>
          </w:r>
          <w:r w:rsidRPr="00CC6121">
            <w:rPr>
              <w:rFonts w:ascii="Arial" w:hAnsi="Arial" w:cs="Arial"/>
              <w:sz w:val="20"/>
              <w:szCs w:val="20"/>
            </w:rPr>
            <w:fldChar w:fldCharType="separate"/>
          </w:r>
          <w:r w:rsidRPr="00CC6121">
            <w:rPr>
              <w:rFonts w:ascii="Arial" w:hAnsi="Arial" w:cs="Arial"/>
              <w:noProof/>
              <w:sz w:val="20"/>
              <w:szCs w:val="20"/>
            </w:rPr>
            <w:t xml:space="preserve"> (Decreto 2649, 1993)</w:t>
          </w:r>
          <w:r w:rsidRPr="00CC6121">
            <w:rPr>
              <w:rFonts w:ascii="Arial" w:hAnsi="Arial" w:cs="Arial"/>
              <w:sz w:val="20"/>
              <w:szCs w:val="20"/>
            </w:rPr>
            <w:fldChar w:fldCharType="end"/>
          </w:r>
        </w:sdtContent>
      </w:sdt>
    </w:p>
    <w:p w14:paraId="4AB6AA52"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El seguimiento, la retroalimentación y la actualización completan el sentido de esta documentación, porque un procedimiento contable no debe permanecer estático si la práctica muestra nuevas necesidades de claridad, control o mejora. El procedimiento para la evaluación del control interno contable de la CGN dispone evaluación permanente, uso de indicadores e instrumentos complementarios, y verificación de la efectividad de las políticas y controles del proceso contable. Por eso, documentar también implica revisar periódicamente si los manuales, formatos y flujos siguen siendo útiles, si requieren ajustes y si las mejoras introducidas deben incorporarse formalmente a la versión vigente del procedimiento. Así, la documentación deja de ser un archivo pasivo y se convierte en una base activa para sostener la calidad y la mejora continua del proceso contable.</w:t>
      </w:r>
      <w:sdt>
        <w:sdtPr>
          <w:rPr>
            <w:rFonts w:ascii="Arial" w:hAnsi="Arial" w:cs="Arial"/>
            <w:sz w:val="20"/>
            <w:szCs w:val="20"/>
          </w:rPr>
          <w:id w:val="89514579"/>
          <w:citation/>
        </w:sdtPr>
        <w:sdtContent>
          <w:r w:rsidRPr="00CC6121">
            <w:rPr>
              <w:rFonts w:ascii="Arial" w:hAnsi="Arial" w:cs="Arial"/>
              <w:sz w:val="20"/>
              <w:szCs w:val="20"/>
            </w:rPr>
            <w:fldChar w:fldCharType="begin"/>
          </w:r>
          <w:r w:rsidRPr="00CC6121">
            <w:rPr>
              <w:rFonts w:ascii="Arial" w:hAnsi="Arial" w:cs="Arial"/>
              <w:sz w:val="20"/>
              <w:szCs w:val="20"/>
            </w:rPr>
            <w:instrText xml:space="preserve"> CITATION Con251 \l 9226 </w:instrText>
          </w:r>
          <w:r w:rsidRPr="00CC6121">
            <w:rPr>
              <w:rFonts w:ascii="Arial" w:hAnsi="Arial" w:cs="Arial"/>
              <w:sz w:val="20"/>
              <w:szCs w:val="20"/>
            </w:rPr>
            <w:fldChar w:fldCharType="separate"/>
          </w:r>
          <w:r w:rsidRPr="00CC6121">
            <w:rPr>
              <w:rFonts w:ascii="Arial" w:hAnsi="Arial" w:cs="Arial"/>
              <w:noProof/>
              <w:sz w:val="20"/>
              <w:szCs w:val="20"/>
            </w:rPr>
            <w:t xml:space="preserve"> (Contaduría General de la Nación, 2025)</w:t>
          </w:r>
          <w:r w:rsidRPr="00CC6121">
            <w:rPr>
              <w:rFonts w:ascii="Arial" w:hAnsi="Arial" w:cs="Arial"/>
              <w:sz w:val="20"/>
              <w:szCs w:val="20"/>
            </w:rPr>
            <w:fldChar w:fldCharType="end"/>
          </w:r>
        </w:sdtContent>
      </w:sdt>
    </w:p>
    <w:p w14:paraId="5CB0E733" w14:textId="243A994B" w:rsidR="001B7A4E" w:rsidRPr="001B7A4E" w:rsidRDefault="001B7A4E" w:rsidP="001B7A4E">
      <w:pPr>
        <w:pStyle w:val="Heading2"/>
        <w:rPr>
          <w:rFonts w:cs="Arial"/>
          <w:b/>
          <w:bCs/>
          <w:szCs w:val="20"/>
        </w:rPr>
      </w:pPr>
      <w:bookmarkStart w:id="5" w:name="_Toc226372412"/>
      <w:r w:rsidRPr="001B7A4E">
        <w:rPr>
          <w:rFonts w:cs="Arial"/>
          <w:b/>
          <w:bCs/>
          <w:szCs w:val="20"/>
        </w:rPr>
        <w:lastRenderedPageBreak/>
        <w:t>1.3 Calidad en los procesos contables</w:t>
      </w:r>
      <w:bookmarkEnd w:id="5"/>
    </w:p>
    <w:p w14:paraId="09A28073"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La calidad en los procesos contables se relaciona con la capacidad del procedimiento para generar información útil, verificable, oportuna, razonable y consistente. Su importancia radica en que desplaza la atención desde el dato aislado hacia el funcionamiento integral del proceso, es decir, hacia la forma en que se reciben los soportes, se aplican controles, se registran operaciones, se verifican diferencias y se evalúan resultados. En esa línea, el procedimiento para la evaluación del control interno contable de la Contaduría General de la Nación señala que el objetivo general del control interno contable es promover la generación de información financiera de propósito general con las características cualitativas previstas en el marco normativo aplicable, mientras que la Ley 87 de 1993 vincula el control interno con la confiabilidad de la información y la eficacia de las operaciones.</w:t>
      </w:r>
      <w:sdt>
        <w:sdtPr>
          <w:rPr>
            <w:rFonts w:ascii="Arial" w:hAnsi="Arial" w:cs="Arial"/>
            <w:sz w:val="20"/>
            <w:szCs w:val="20"/>
          </w:rPr>
          <w:id w:val="-689840139"/>
          <w:citation/>
        </w:sdtPr>
        <w:sdtContent>
          <w:r w:rsidRPr="00CC6121">
            <w:rPr>
              <w:rFonts w:ascii="Arial" w:hAnsi="Arial" w:cs="Arial"/>
              <w:sz w:val="20"/>
              <w:szCs w:val="20"/>
            </w:rPr>
            <w:fldChar w:fldCharType="begin"/>
          </w:r>
          <w:r w:rsidRPr="00CC6121">
            <w:rPr>
              <w:rFonts w:ascii="Arial" w:hAnsi="Arial" w:cs="Arial"/>
              <w:sz w:val="20"/>
              <w:szCs w:val="20"/>
            </w:rPr>
            <w:instrText xml:space="preserve"> CITATION Con25 \l 9226 </w:instrText>
          </w:r>
          <w:r w:rsidRPr="00CC6121">
            <w:rPr>
              <w:rFonts w:ascii="Arial" w:hAnsi="Arial" w:cs="Arial"/>
              <w:sz w:val="20"/>
              <w:szCs w:val="20"/>
            </w:rPr>
            <w:fldChar w:fldCharType="separate"/>
          </w:r>
          <w:r w:rsidRPr="00CC6121">
            <w:rPr>
              <w:rFonts w:ascii="Arial" w:hAnsi="Arial" w:cs="Arial"/>
              <w:noProof/>
              <w:sz w:val="20"/>
              <w:szCs w:val="20"/>
            </w:rPr>
            <w:t xml:space="preserve"> (Contaduría General de la Nación, 2025)</w:t>
          </w:r>
          <w:r w:rsidRPr="00CC6121">
            <w:rPr>
              <w:rFonts w:ascii="Arial" w:hAnsi="Arial" w:cs="Arial"/>
              <w:sz w:val="20"/>
              <w:szCs w:val="20"/>
            </w:rPr>
            <w:fldChar w:fldCharType="end"/>
          </w:r>
        </w:sdtContent>
      </w:sdt>
    </w:p>
    <w:p w14:paraId="3A2664FD" w14:textId="0896A9B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 xml:space="preserve">Estudiar este apartado resulta útil porque permite comprender que la calidad del proceso contable no se logra solo con correcciones puntuales, sino con mecanismos estables de control, medición, verificación y mejora. En otras palabras, la calidad se construye cuando el procedimiento deja evidencia suficiente, cuenta con criterios de seguimiento, incorpora una lógica de revisión permanente y sostiene en el tiempo las mejoras adoptadas. Esta visión es coherente con el enfoque de evaluación, seguimiento y mejora </w:t>
      </w:r>
      <w:proofErr w:type="gramStart"/>
      <w:r w:rsidRPr="00CC6121">
        <w:rPr>
          <w:rFonts w:ascii="Arial" w:hAnsi="Arial" w:cs="Arial"/>
          <w:sz w:val="20"/>
          <w:szCs w:val="20"/>
        </w:rPr>
        <w:t>continua</w:t>
      </w:r>
      <w:proofErr w:type="gramEnd"/>
      <w:r w:rsidRPr="00CC6121">
        <w:rPr>
          <w:rFonts w:ascii="Arial" w:hAnsi="Arial" w:cs="Arial"/>
          <w:sz w:val="20"/>
          <w:szCs w:val="20"/>
        </w:rPr>
        <w:t xml:space="preserve"> previsto por la CGN y con la gestión por procesos promovida por Función Pública como herramienta para fortalecer la capacidad de gestión y mejorar el desempeño institucional.</w:t>
      </w:r>
    </w:p>
    <w:p w14:paraId="6DFD1400" w14:textId="6062CE7C" w:rsidR="001B7A4E" w:rsidRPr="001B7A4E" w:rsidRDefault="001B7A4E" w:rsidP="001B7A4E">
      <w:pPr>
        <w:pStyle w:val="Heading3"/>
        <w:rPr>
          <w:rFonts w:cs="Arial"/>
          <w:b/>
          <w:bCs/>
          <w:szCs w:val="20"/>
        </w:rPr>
      </w:pPr>
      <w:bookmarkStart w:id="6" w:name="_Toc226372413"/>
      <w:r w:rsidRPr="001B7A4E">
        <w:rPr>
          <w:rFonts w:cs="Arial"/>
          <w:b/>
          <w:bCs/>
          <w:szCs w:val="20"/>
        </w:rPr>
        <w:t>1.3.1 Control documental, indicadores, ciclo PHVA, mejora continua y sostenibilidad del sistema</w:t>
      </w:r>
      <w:bookmarkEnd w:id="6"/>
    </w:p>
    <w:p w14:paraId="20F538E4" w14:textId="77777777" w:rsidR="001B7A4E" w:rsidRPr="00CC6121" w:rsidRDefault="001B7A4E" w:rsidP="001B7A4E">
      <w:pPr>
        <w:rPr>
          <w:rFonts w:cs="Arial"/>
          <w:szCs w:val="20"/>
        </w:rPr>
      </w:pPr>
    </w:p>
    <w:p w14:paraId="7A944416" w14:textId="77777777" w:rsidR="001B7A4E" w:rsidRPr="00CC6121" w:rsidRDefault="001B7A4E" w:rsidP="001B7A4E">
      <w:pPr>
        <w:spacing w:line="276" w:lineRule="auto"/>
        <w:rPr>
          <w:rFonts w:cs="Arial"/>
          <w:szCs w:val="20"/>
        </w:rPr>
      </w:pPr>
      <w:r w:rsidRPr="00CC6121">
        <w:rPr>
          <w:rFonts w:cs="Arial"/>
          <w:szCs w:val="20"/>
        </w:rPr>
        <w:t>La calidad del proceso contable se fortalece, en primer lugar, mediante el control documental y el uso de indicadores. El control documental permite recuperar, verificar y relacionar soportes, comprobantes, formatos, reportes y demás evidencias del proceso, de modo que cada registro pueda ser consultado y revisado. Por su parte, los indicadores ayudan a valorar si el procedimiento está funcionando como se espera, por ejemplo, en aspectos como oportunidad del registro, disminución de errores, reducción de reprocesos o comportamiento de diferencias recurrentes. La CGN establece expresamente como objetivos específicos verificar la efectividad de las políticas del proceso contable y comprobar la existencia de indicadores para evaluar permanentemente la gestión y los resultados.</w:t>
      </w:r>
      <w:sdt>
        <w:sdtPr>
          <w:rPr>
            <w:rFonts w:cs="Arial"/>
            <w:szCs w:val="20"/>
          </w:rPr>
          <w:id w:val="1364100529"/>
          <w:citation/>
        </w:sdtPr>
        <w:sdtContent>
          <w:r w:rsidRPr="00CC6121">
            <w:rPr>
              <w:rFonts w:cs="Arial"/>
              <w:szCs w:val="20"/>
            </w:rPr>
            <w:fldChar w:fldCharType="begin"/>
          </w:r>
          <w:r w:rsidRPr="00CC6121">
            <w:rPr>
              <w:rFonts w:cs="Arial"/>
              <w:szCs w:val="20"/>
            </w:rPr>
            <w:instrText xml:space="preserve"> CITATION Con25 \l 9226 </w:instrText>
          </w:r>
          <w:r w:rsidRPr="00CC6121">
            <w:rPr>
              <w:rFonts w:cs="Arial"/>
              <w:szCs w:val="20"/>
            </w:rPr>
            <w:fldChar w:fldCharType="separate"/>
          </w:r>
          <w:r w:rsidRPr="00CC6121">
            <w:rPr>
              <w:rFonts w:cs="Arial"/>
              <w:noProof/>
              <w:szCs w:val="20"/>
            </w:rPr>
            <w:t xml:space="preserve"> (Contaduría General de la Nación, 2025)</w:t>
          </w:r>
          <w:r w:rsidRPr="00CC6121">
            <w:rPr>
              <w:rFonts w:cs="Arial"/>
              <w:szCs w:val="20"/>
            </w:rPr>
            <w:fldChar w:fldCharType="end"/>
          </w:r>
        </w:sdtContent>
      </w:sdt>
    </w:p>
    <w:p w14:paraId="25050837" w14:textId="77777777" w:rsidR="001B7A4E" w:rsidRPr="00CC6121" w:rsidRDefault="001B7A4E" w:rsidP="001B7A4E">
      <w:pPr>
        <w:spacing w:line="276" w:lineRule="auto"/>
        <w:rPr>
          <w:rFonts w:cs="Arial"/>
          <w:szCs w:val="20"/>
        </w:rPr>
      </w:pPr>
    </w:p>
    <w:p w14:paraId="4D18E226" w14:textId="77777777" w:rsidR="001B7A4E" w:rsidRPr="00CC6121" w:rsidRDefault="001B7A4E" w:rsidP="001B7A4E">
      <w:pPr>
        <w:spacing w:line="276" w:lineRule="auto"/>
        <w:rPr>
          <w:rFonts w:cs="Arial"/>
          <w:szCs w:val="20"/>
        </w:rPr>
      </w:pPr>
      <w:r w:rsidRPr="00CC6121">
        <w:rPr>
          <w:rFonts w:cs="Arial"/>
          <w:szCs w:val="20"/>
        </w:rPr>
        <w:t>En segundo lugar, la aplicación del ciclo PHVA aporta una lógica de mejoramiento al procedimiento contable. Bajo este enfoque, primero se planean los cambios o controles que deben incorporarse; después se ejecutan en la operación diaria; luego se verifican sus resultados mediante revisión y seguimiento; y finalmente se actúa para corregir, fortalecer o ajustar lo necesario. Función Pública ha señalado que MIPG incorpora el ciclo de gestión PHVA y que la gestión por procesos busca facilitar y mejorar la implementación del modelo de operación por procesos como herramienta para fortalecer la capacidad de gestión y el desempeño institucional. Aplicado a la contabilidad, este ciclo permite que la revisión del proceso no sea esporádica, sino continua y orientada a resultados.</w:t>
      </w:r>
    </w:p>
    <w:p w14:paraId="4EA8A02C" w14:textId="77777777" w:rsidR="001B7A4E" w:rsidRPr="00CC6121" w:rsidRDefault="001B7A4E" w:rsidP="001B7A4E">
      <w:pPr>
        <w:spacing w:line="276" w:lineRule="auto"/>
        <w:rPr>
          <w:rFonts w:cs="Arial"/>
          <w:szCs w:val="20"/>
        </w:rPr>
      </w:pPr>
    </w:p>
    <w:p w14:paraId="3615A60E" w14:textId="77777777" w:rsidR="001B7A4E" w:rsidRPr="00CC6121" w:rsidRDefault="001B7A4E" w:rsidP="001B7A4E">
      <w:pPr>
        <w:spacing w:line="276" w:lineRule="auto"/>
        <w:rPr>
          <w:rFonts w:cs="Arial"/>
          <w:szCs w:val="20"/>
        </w:rPr>
      </w:pPr>
      <w:r w:rsidRPr="00CC6121">
        <w:rPr>
          <w:rFonts w:cs="Arial"/>
          <w:szCs w:val="20"/>
        </w:rPr>
        <w:t xml:space="preserve">Finalmente, la mejora continua y la sostenibilidad del sistema implican que los cambios útiles permanezcan en el tiempo y no dependan exclusivamente del conocimiento o iniciativa de una sola persona. Un sistema contable sostenible es aquel en el que los controles, la documentación, la medición y la retroalimentación siguen operando en distintos períodos, aun cuando cambien los </w:t>
      </w:r>
      <w:r w:rsidRPr="00CC6121">
        <w:rPr>
          <w:rFonts w:cs="Arial"/>
          <w:szCs w:val="20"/>
        </w:rPr>
        <w:lastRenderedPageBreak/>
        <w:t>responsables o aumente la carga de trabajo. El procedimiento de la CGN exige evaluación permanente, verificación de la efectividad de los controles y formulación de acciones de mejora con seguimiento a su cumplimiento, lo que confirma que la calidad del proceso contable solo se consolida cuando la mejora se institucionaliza y puede sostenerse con evidencia y revisión continua.</w:t>
      </w:r>
      <w:sdt>
        <w:sdtPr>
          <w:rPr>
            <w:rFonts w:cs="Arial"/>
            <w:szCs w:val="20"/>
          </w:rPr>
          <w:id w:val="-1682349667"/>
          <w:citation/>
        </w:sdtPr>
        <w:sdtContent>
          <w:r w:rsidRPr="00CC6121">
            <w:rPr>
              <w:rFonts w:cs="Arial"/>
              <w:szCs w:val="20"/>
            </w:rPr>
            <w:fldChar w:fldCharType="begin"/>
          </w:r>
          <w:r w:rsidRPr="00CC6121">
            <w:rPr>
              <w:rFonts w:cs="Arial"/>
              <w:szCs w:val="20"/>
            </w:rPr>
            <w:instrText xml:space="preserve"> CITATION Con25 \l 9226 </w:instrText>
          </w:r>
          <w:r w:rsidRPr="00CC6121">
            <w:rPr>
              <w:rFonts w:cs="Arial"/>
              <w:szCs w:val="20"/>
            </w:rPr>
            <w:fldChar w:fldCharType="separate"/>
          </w:r>
          <w:r w:rsidRPr="00CC6121">
            <w:rPr>
              <w:rFonts w:cs="Arial"/>
              <w:noProof/>
              <w:szCs w:val="20"/>
            </w:rPr>
            <w:t xml:space="preserve"> (Contaduría General de la Nación, 2025)</w:t>
          </w:r>
          <w:r w:rsidRPr="00CC6121">
            <w:rPr>
              <w:rFonts w:cs="Arial"/>
              <w:szCs w:val="20"/>
            </w:rPr>
            <w:fldChar w:fldCharType="end"/>
          </w:r>
        </w:sdtContent>
      </w:sdt>
    </w:p>
    <w:p w14:paraId="77903A67" w14:textId="77777777" w:rsidR="001B7A4E" w:rsidRPr="00CC6121" w:rsidRDefault="001B7A4E" w:rsidP="001B7A4E">
      <w:pPr>
        <w:spacing w:line="276" w:lineRule="auto"/>
        <w:rPr>
          <w:rFonts w:cs="Arial"/>
          <w:szCs w:val="20"/>
        </w:rPr>
      </w:pPr>
    </w:p>
    <w:p w14:paraId="731D8105" w14:textId="77777777" w:rsidR="001B7A4E" w:rsidRPr="00CC6121" w:rsidRDefault="001B7A4E" w:rsidP="001B7A4E">
      <w:pPr>
        <w:spacing w:line="276" w:lineRule="auto"/>
        <w:rPr>
          <w:rFonts w:cs="Arial"/>
          <w:szCs w:val="20"/>
        </w:rPr>
      </w:pPr>
      <w:r w:rsidRPr="00CC6121">
        <w:rPr>
          <w:rFonts w:cs="Arial"/>
          <w:szCs w:val="20"/>
        </w:rPr>
        <w:t>La aplicación de la documentación, la socialización y los criterios de calidad en los procesos contables es importante porque permite que el registro deje de depender de prácticas aisladas y se convierta en un proceso ordenado, verificable y consistente. Cuando los cambios se identifican, se comunican, se documentan y se revisan, la organización fortalece el control sobre sus operaciones, mejora la oportunidad y confiabilidad de la información, previene riesgos y corrige desviaciones antes de que afecten los resultados del período. En esa línea, la Ley 87 de 1993 señala que el control interno debe procurar que las actividades, operaciones y la administración de la información se realicen conforme a las normas vigentes, y establece entre sus objetivos asegurar la oportunidad y confiabilidad de la información y de sus registros, prevenir riesgos y detectar y corregir desviaciones.</w:t>
      </w:r>
    </w:p>
    <w:p w14:paraId="4DEB838B" w14:textId="77777777" w:rsidR="001B7A4E" w:rsidRPr="00CC6121" w:rsidRDefault="001B7A4E" w:rsidP="001B7A4E">
      <w:pPr>
        <w:spacing w:line="276" w:lineRule="auto"/>
        <w:rPr>
          <w:rFonts w:cs="Arial"/>
          <w:szCs w:val="20"/>
        </w:rPr>
      </w:pPr>
    </w:p>
    <w:p w14:paraId="5F224688" w14:textId="77777777" w:rsidR="001B7A4E" w:rsidRPr="00CC6121" w:rsidRDefault="001B7A4E" w:rsidP="001B7A4E">
      <w:pPr>
        <w:spacing w:line="276" w:lineRule="auto"/>
        <w:rPr>
          <w:rFonts w:cs="Arial"/>
          <w:szCs w:val="20"/>
        </w:rPr>
      </w:pPr>
      <w:r w:rsidRPr="00CC6121">
        <w:rPr>
          <w:rFonts w:cs="Arial"/>
          <w:szCs w:val="20"/>
        </w:rPr>
        <w:t>Para las empresas, el beneficio de aplicar estos elementos es directo: una mejor documentación facilita la trazabilidad de los soportes y decisiones; una adecuada socialización permite que el equipo actúe con criterios uniformes; y un proceso orientado a la calidad reduce errores, reprocesos y pérdidas de tiempo en cierres, conciliaciones o revisiones posteriores. En consecuencia, no se trata solo de cumplir una formalidad administrativa, sino de fortalecer la estabilidad del sistema contable, respaldar decisiones con información más segura y crear condiciones para que la empresa opere con mayor control, transparencia y continuidad. La misma Ley 87 dispone que todas las transacciones deben registrarse en forma exacta, veraz y oportuna, y que deben definirse políticas, procedimientos, sistemas de información, programas de capacitación y actualización, así como la simplificación y actualización de normas y procedimientos.</w:t>
      </w:r>
      <w:sdt>
        <w:sdtPr>
          <w:rPr>
            <w:rFonts w:cs="Arial"/>
            <w:szCs w:val="20"/>
          </w:rPr>
          <w:id w:val="-681040798"/>
          <w:citation/>
        </w:sdtPr>
        <w:sdtContent>
          <w:r w:rsidRPr="00CC6121">
            <w:rPr>
              <w:rFonts w:cs="Arial"/>
              <w:szCs w:val="20"/>
            </w:rPr>
            <w:fldChar w:fldCharType="begin"/>
          </w:r>
          <w:r w:rsidRPr="00CC6121">
            <w:rPr>
              <w:rFonts w:cs="Arial"/>
              <w:szCs w:val="20"/>
            </w:rPr>
            <w:instrText xml:space="preserve">CITATION Con93 \n  \l 9226 </w:instrText>
          </w:r>
          <w:r w:rsidRPr="00CC6121">
            <w:rPr>
              <w:rFonts w:cs="Arial"/>
              <w:szCs w:val="20"/>
            </w:rPr>
            <w:fldChar w:fldCharType="separate"/>
          </w:r>
          <w:r w:rsidRPr="00CC6121">
            <w:rPr>
              <w:rFonts w:cs="Arial"/>
              <w:noProof/>
              <w:szCs w:val="20"/>
            </w:rPr>
            <w:t xml:space="preserve"> (Ley 87, 1993)</w:t>
          </w:r>
          <w:r w:rsidRPr="00CC6121">
            <w:rPr>
              <w:rFonts w:cs="Arial"/>
              <w:szCs w:val="20"/>
            </w:rPr>
            <w:fldChar w:fldCharType="end"/>
          </w:r>
        </w:sdtContent>
      </w:sdt>
    </w:p>
    <w:p w14:paraId="4119410D" w14:textId="77777777" w:rsidR="00D27F96" w:rsidRDefault="00D27F96"/>
    <w:p w14:paraId="0C65F481" w14:textId="6FBBEE29" w:rsidR="00B12346" w:rsidRPr="003327AE" w:rsidRDefault="00B12346">
      <w:pPr>
        <w:rPr>
          <w:b/>
          <w:bCs/>
        </w:rPr>
      </w:pPr>
      <w:r w:rsidRPr="003327AE">
        <w:rPr>
          <w:b/>
          <w:bCs/>
        </w:rPr>
        <w:t xml:space="preserve">Referencias bibliográficas </w:t>
      </w:r>
    </w:p>
    <w:p w14:paraId="5453B96A" w14:textId="77777777" w:rsidR="00B12346" w:rsidRDefault="00B12346"/>
    <w:p w14:paraId="5EEF50FC" w14:textId="3588419D" w:rsidR="003327AE" w:rsidRDefault="003327AE" w:rsidP="003327AE">
      <w:pPr>
        <w:spacing w:before="240"/>
        <w:rPr>
          <w:lang w:val="es-MX"/>
        </w:rPr>
      </w:pPr>
      <w:r w:rsidRPr="003327AE">
        <w:rPr>
          <w:lang w:val="es-MX"/>
        </w:rPr>
        <w:t xml:space="preserve">Archivo General de la Nación. (2000, 14 de julio). </w:t>
      </w:r>
      <w:r w:rsidRPr="003327AE">
        <w:rPr>
          <w:i/>
          <w:iCs/>
          <w:lang w:val="es-MX"/>
        </w:rPr>
        <w:t>Ley 594 de 2000: por medio de la cual se dicta la Ley General de Archivos y se dictan otras disposiciones</w:t>
      </w:r>
      <w:r w:rsidRPr="003327AE">
        <w:rPr>
          <w:lang w:val="es-MX"/>
        </w:rPr>
        <w:t xml:space="preserve">. </w:t>
      </w:r>
    </w:p>
    <w:p w14:paraId="74E9AE9C" w14:textId="77777777" w:rsidR="003327AE" w:rsidRPr="003327AE" w:rsidRDefault="003327AE" w:rsidP="003327AE">
      <w:pPr>
        <w:spacing w:before="240"/>
        <w:rPr>
          <w:lang w:val="es-MX"/>
        </w:rPr>
      </w:pPr>
    </w:p>
    <w:p w14:paraId="1E02B568" w14:textId="4749F8A1" w:rsidR="003327AE" w:rsidRDefault="003327AE" w:rsidP="003327AE">
      <w:pPr>
        <w:spacing w:before="240"/>
        <w:rPr>
          <w:lang w:val="es-MX"/>
        </w:rPr>
      </w:pPr>
      <w:r w:rsidRPr="003327AE">
        <w:rPr>
          <w:lang w:val="es-MX"/>
        </w:rPr>
        <w:t xml:space="preserve">Congreso de la República de Colombia. (1993, 29 de noviembre). </w:t>
      </w:r>
      <w:r w:rsidRPr="003327AE">
        <w:rPr>
          <w:i/>
          <w:iCs/>
          <w:lang w:val="es-MX"/>
        </w:rPr>
        <w:t>Ley 87 de 1993: por la cual se establecen normas para el ejercicio del control interno en las entidades y organismos del Estado y se dictan otras disposiciones</w:t>
      </w:r>
      <w:r w:rsidRPr="003327AE">
        <w:rPr>
          <w:lang w:val="es-MX"/>
        </w:rPr>
        <w:t xml:space="preserve">. Función Pública. </w:t>
      </w:r>
    </w:p>
    <w:p w14:paraId="01529897" w14:textId="77777777" w:rsidR="003327AE" w:rsidRPr="003327AE" w:rsidRDefault="003327AE" w:rsidP="003327AE">
      <w:pPr>
        <w:spacing w:before="240"/>
        <w:rPr>
          <w:lang w:val="es-MX"/>
        </w:rPr>
      </w:pPr>
    </w:p>
    <w:p w14:paraId="68F612CC" w14:textId="123A4D68" w:rsidR="003327AE" w:rsidRDefault="003327AE" w:rsidP="003327AE">
      <w:pPr>
        <w:spacing w:before="240"/>
        <w:rPr>
          <w:lang w:val="es-MX"/>
        </w:rPr>
      </w:pPr>
      <w:r w:rsidRPr="003327AE">
        <w:rPr>
          <w:lang w:val="es-MX"/>
        </w:rPr>
        <w:t xml:space="preserve">Contaduría General de la Nación. (2025, 4 de diciembre). </w:t>
      </w:r>
      <w:r w:rsidRPr="003327AE">
        <w:rPr>
          <w:i/>
          <w:iCs/>
          <w:lang w:val="es-MX"/>
        </w:rPr>
        <w:t>Resolución 347 de 2025: por la cual se incorpora el procedimiento para la evaluación del control interno contable</w:t>
      </w:r>
      <w:r w:rsidRPr="003327AE">
        <w:rPr>
          <w:lang w:val="es-MX"/>
        </w:rPr>
        <w:t xml:space="preserve">. </w:t>
      </w:r>
    </w:p>
    <w:p w14:paraId="21EE4540" w14:textId="77777777" w:rsidR="003327AE" w:rsidRPr="003327AE" w:rsidRDefault="003327AE" w:rsidP="003327AE">
      <w:pPr>
        <w:spacing w:before="240"/>
        <w:rPr>
          <w:lang w:val="es-MX"/>
        </w:rPr>
      </w:pPr>
    </w:p>
    <w:p w14:paraId="433C08E8" w14:textId="7BD41519" w:rsidR="003327AE" w:rsidRDefault="003327AE" w:rsidP="003327AE">
      <w:pPr>
        <w:spacing w:before="240"/>
        <w:rPr>
          <w:lang w:val="es-MX"/>
        </w:rPr>
      </w:pPr>
      <w:r w:rsidRPr="003327AE">
        <w:rPr>
          <w:lang w:val="es-MX"/>
        </w:rPr>
        <w:t xml:space="preserve">Contaduría General de la Nación. (2025, 10 de diciembre). </w:t>
      </w:r>
      <w:r w:rsidRPr="003327AE">
        <w:rPr>
          <w:i/>
          <w:iCs/>
          <w:lang w:val="es-MX"/>
        </w:rPr>
        <w:t>Procedimiento para la evaluación del control interno contable</w:t>
      </w:r>
      <w:r w:rsidRPr="003327AE">
        <w:rPr>
          <w:lang w:val="es-MX"/>
        </w:rPr>
        <w:t xml:space="preserve">. </w:t>
      </w:r>
    </w:p>
    <w:p w14:paraId="4E5605C9" w14:textId="77777777" w:rsidR="003327AE" w:rsidRPr="003327AE" w:rsidRDefault="003327AE" w:rsidP="003327AE">
      <w:pPr>
        <w:spacing w:before="240"/>
        <w:rPr>
          <w:lang w:val="es-MX"/>
        </w:rPr>
      </w:pPr>
    </w:p>
    <w:p w14:paraId="712E7C3A" w14:textId="5528DA7E" w:rsidR="003327AE" w:rsidRDefault="003327AE" w:rsidP="003327AE">
      <w:pPr>
        <w:spacing w:before="240"/>
        <w:rPr>
          <w:lang w:val="es-MX"/>
        </w:rPr>
      </w:pPr>
      <w:r w:rsidRPr="003327AE">
        <w:rPr>
          <w:lang w:val="es-MX"/>
        </w:rPr>
        <w:t xml:space="preserve">Departamento Administrativo de la Función Pública. (2020, julio). </w:t>
      </w:r>
      <w:r w:rsidRPr="003327AE">
        <w:rPr>
          <w:i/>
          <w:iCs/>
          <w:lang w:val="es-MX"/>
        </w:rPr>
        <w:t>Guía para la gestión por procesos en el marco del Modelo Integrado de Planeación y Gestión (</w:t>
      </w:r>
      <w:proofErr w:type="spellStart"/>
      <w:r w:rsidRPr="003327AE">
        <w:rPr>
          <w:i/>
          <w:iCs/>
          <w:lang w:val="es-MX"/>
        </w:rPr>
        <w:t>Mipg</w:t>
      </w:r>
      <w:proofErr w:type="spellEnd"/>
      <w:r w:rsidRPr="003327AE">
        <w:rPr>
          <w:i/>
          <w:iCs/>
          <w:lang w:val="es-MX"/>
        </w:rPr>
        <w:t>)</w:t>
      </w:r>
      <w:r w:rsidRPr="003327AE">
        <w:rPr>
          <w:lang w:val="es-MX"/>
        </w:rPr>
        <w:t xml:space="preserve">. </w:t>
      </w:r>
    </w:p>
    <w:p w14:paraId="58164A56" w14:textId="77777777" w:rsidR="003327AE" w:rsidRPr="003327AE" w:rsidRDefault="003327AE" w:rsidP="003327AE">
      <w:pPr>
        <w:spacing w:before="240"/>
        <w:rPr>
          <w:lang w:val="es-MX"/>
        </w:rPr>
      </w:pPr>
    </w:p>
    <w:p w14:paraId="1F60B602" w14:textId="6A2E99E9" w:rsidR="003327AE" w:rsidRDefault="003327AE" w:rsidP="003327AE">
      <w:pPr>
        <w:spacing w:before="240"/>
        <w:rPr>
          <w:lang w:val="es-MX"/>
        </w:rPr>
      </w:pPr>
      <w:r w:rsidRPr="003327AE">
        <w:rPr>
          <w:lang w:val="es-MX"/>
        </w:rPr>
        <w:t xml:space="preserve">Departamento Administrativo de la Función Pública. (s. f.). </w:t>
      </w:r>
      <w:r w:rsidRPr="003327AE">
        <w:rPr>
          <w:i/>
          <w:iCs/>
          <w:lang w:val="es-MX"/>
        </w:rPr>
        <w:t>Gestión documental</w:t>
      </w:r>
      <w:r w:rsidRPr="003327AE">
        <w:rPr>
          <w:lang w:val="es-MX"/>
        </w:rPr>
        <w:t xml:space="preserve">. </w:t>
      </w:r>
    </w:p>
    <w:p w14:paraId="00926AE9" w14:textId="77777777" w:rsidR="003327AE" w:rsidRPr="003327AE" w:rsidRDefault="003327AE" w:rsidP="003327AE">
      <w:pPr>
        <w:spacing w:before="240"/>
        <w:rPr>
          <w:lang w:val="es-MX"/>
        </w:rPr>
      </w:pPr>
    </w:p>
    <w:p w14:paraId="5C3324CB" w14:textId="0C1C2106" w:rsidR="003327AE" w:rsidRPr="003327AE" w:rsidRDefault="003327AE" w:rsidP="003327AE">
      <w:pPr>
        <w:spacing w:before="240"/>
        <w:rPr>
          <w:lang w:val="es-MX"/>
        </w:rPr>
      </w:pPr>
      <w:r w:rsidRPr="003327AE">
        <w:rPr>
          <w:lang w:val="es-MX"/>
        </w:rPr>
        <w:t xml:space="preserve">Presidencia de la República de Colombia. (1993, 29 de diciembre). </w:t>
      </w:r>
      <w:r w:rsidRPr="003327AE">
        <w:rPr>
          <w:i/>
          <w:iCs/>
          <w:lang w:val="es-MX"/>
        </w:rPr>
        <w:t>Decreto 2649 de 1993: por el cual se reglamenta la contabilidad en general y se expiden los principios o normas de contabilidad generalmente aceptados en Colombia</w:t>
      </w:r>
      <w:r w:rsidRPr="003327AE">
        <w:rPr>
          <w:lang w:val="es-MX"/>
        </w:rPr>
        <w:t xml:space="preserve">. Función Pública. </w:t>
      </w:r>
    </w:p>
    <w:p w14:paraId="3BB8E62E" w14:textId="77777777" w:rsidR="003327AE" w:rsidRDefault="003327AE" w:rsidP="003327AE">
      <w:pPr>
        <w:spacing w:before="240"/>
      </w:pPr>
    </w:p>
    <w:sectPr w:rsidR="003327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A4E"/>
    <w:rsid w:val="00024A7B"/>
    <w:rsid w:val="000410CE"/>
    <w:rsid w:val="000667BB"/>
    <w:rsid w:val="000E2097"/>
    <w:rsid w:val="001B7A4E"/>
    <w:rsid w:val="001C011A"/>
    <w:rsid w:val="00252AF9"/>
    <w:rsid w:val="002827A0"/>
    <w:rsid w:val="00304E41"/>
    <w:rsid w:val="003327AE"/>
    <w:rsid w:val="003C3CC9"/>
    <w:rsid w:val="005319F5"/>
    <w:rsid w:val="0067522A"/>
    <w:rsid w:val="006E7785"/>
    <w:rsid w:val="00754548"/>
    <w:rsid w:val="008C485C"/>
    <w:rsid w:val="00931D77"/>
    <w:rsid w:val="00B12346"/>
    <w:rsid w:val="00BD28EB"/>
    <w:rsid w:val="00D27F96"/>
    <w:rsid w:val="00D66F87"/>
    <w:rsid w:val="00DB732F"/>
    <w:rsid w:val="00DF6394"/>
    <w:rsid w:val="00E158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2BDC1"/>
  <w15:chartTrackingRefBased/>
  <w15:docId w15:val="{2E6824CA-353D-45F5-B507-7FD9A455D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A4E"/>
    <w:pPr>
      <w:spacing w:line="240" w:lineRule="auto"/>
      <w:contextualSpacing/>
      <w:jc w:val="both"/>
    </w:pPr>
    <w:rPr>
      <w:rFonts w:ascii="Arial" w:hAnsi="Arial"/>
      <w:kern w:val="0"/>
      <w:sz w:val="20"/>
      <w14:ligatures w14:val="none"/>
    </w:rPr>
  </w:style>
  <w:style w:type="paragraph" w:styleId="Heading1">
    <w:name w:val="heading 1"/>
    <w:basedOn w:val="Normal"/>
    <w:next w:val="Normal"/>
    <w:link w:val="Heading1Char"/>
    <w:uiPriority w:val="9"/>
    <w:qFormat/>
    <w:rsid w:val="001B7A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7A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7A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A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A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A4E"/>
    <w:rPr>
      <w:rFonts w:asciiTheme="majorHAnsi" w:eastAsiaTheme="majorEastAsia" w:hAnsiTheme="majorHAnsi" w:cstheme="majorBidi"/>
      <w:color w:val="2F5496" w:themeColor="accent1" w:themeShade="BF"/>
      <w:sz w:val="40"/>
      <w:szCs w:val="40"/>
      <w:lang w:val="es-MX"/>
    </w:rPr>
  </w:style>
  <w:style w:type="character" w:customStyle="1" w:styleId="Heading2Char">
    <w:name w:val="Heading 2 Char"/>
    <w:basedOn w:val="DefaultParagraphFont"/>
    <w:link w:val="Heading2"/>
    <w:uiPriority w:val="9"/>
    <w:rsid w:val="001B7A4E"/>
    <w:rPr>
      <w:rFonts w:asciiTheme="majorHAnsi" w:eastAsiaTheme="majorEastAsia" w:hAnsiTheme="majorHAnsi" w:cstheme="majorBidi"/>
      <w:color w:val="2F5496" w:themeColor="accent1" w:themeShade="BF"/>
      <w:sz w:val="32"/>
      <w:szCs w:val="32"/>
      <w:lang w:val="es-MX"/>
    </w:rPr>
  </w:style>
  <w:style w:type="character" w:customStyle="1" w:styleId="Heading3Char">
    <w:name w:val="Heading 3 Char"/>
    <w:basedOn w:val="DefaultParagraphFont"/>
    <w:link w:val="Heading3"/>
    <w:uiPriority w:val="9"/>
    <w:rsid w:val="001B7A4E"/>
    <w:rPr>
      <w:rFonts w:eastAsiaTheme="majorEastAsia" w:cstheme="majorBidi"/>
      <w:color w:val="2F5496" w:themeColor="accent1" w:themeShade="BF"/>
      <w:sz w:val="28"/>
      <w:szCs w:val="28"/>
      <w:lang w:val="es-MX"/>
    </w:rPr>
  </w:style>
  <w:style w:type="character" w:customStyle="1" w:styleId="Heading4Char">
    <w:name w:val="Heading 4 Char"/>
    <w:basedOn w:val="DefaultParagraphFont"/>
    <w:link w:val="Heading4"/>
    <w:uiPriority w:val="9"/>
    <w:semiHidden/>
    <w:rsid w:val="001B7A4E"/>
    <w:rPr>
      <w:rFonts w:eastAsiaTheme="majorEastAsia" w:cstheme="majorBidi"/>
      <w:i/>
      <w:iCs/>
      <w:color w:val="2F5496" w:themeColor="accent1" w:themeShade="BF"/>
      <w:lang w:val="es-MX"/>
    </w:rPr>
  </w:style>
  <w:style w:type="character" w:customStyle="1" w:styleId="Heading5Char">
    <w:name w:val="Heading 5 Char"/>
    <w:basedOn w:val="DefaultParagraphFont"/>
    <w:link w:val="Heading5"/>
    <w:uiPriority w:val="9"/>
    <w:semiHidden/>
    <w:rsid w:val="001B7A4E"/>
    <w:rPr>
      <w:rFonts w:eastAsiaTheme="majorEastAsia" w:cstheme="majorBidi"/>
      <w:color w:val="2F5496" w:themeColor="accent1" w:themeShade="BF"/>
      <w:lang w:val="es-MX"/>
    </w:rPr>
  </w:style>
  <w:style w:type="character" w:customStyle="1" w:styleId="Heading6Char">
    <w:name w:val="Heading 6 Char"/>
    <w:basedOn w:val="DefaultParagraphFont"/>
    <w:link w:val="Heading6"/>
    <w:uiPriority w:val="9"/>
    <w:semiHidden/>
    <w:rsid w:val="001B7A4E"/>
    <w:rPr>
      <w:rFonts w:eastAsiaTheme="majorEastAsia" w:cstheme="majorBidi"/>
      <w:i/>
      <w:iCs/>
      <w:color w:val="595959" w:themeColor="text1" w:themeTint="A6"/>
      <w:lang w:val="es-MX"/>
    </w:rPr>
  </w:style>
  <w:style w:type="character" w:customStyle="1" w:styleId="Heading7Char">
    <w:name w:val="Heading 7 Char"/>
    <w:basedOn w:val="DefaultParagraphFont"/>
    <w:link w:val="Heading7"/>
    <w:uiPriority w:val="9"/>
    <w:semiHidden/>
    <w:rsid w:val="001B7A4E"/>
    <w:rPr>
      <w:rFonts w:eastAsiaTheme="majorEastAsia" w:cstheme="majorBidi"/>
      <w:color w:val="595959" w:themeColor="text1" w:themeTint="A6"/>
      <w:lang w:val="es-MX"/>
    </w:rPr>
  </w:style>
  <w:style w:type="character" w:customStyle="1" w:styleId="Heading8Char">
    <w:name w:val="Heading 8 Char"/>
    <w:basedOn w:val="DefaultParagraphFont"/>
    <w:link w:val="Heading8"/>
    <w:uiPriority w:val="9"/>
    <w:semiHidden/>
    <w:rsid w:val="001B7A4E"/>
    <w:rPr>
      <w:rFonts w:eastAsiaTheme="majorEastAsia" w:cstheme="majorBidi"/>
      <w:i/>
      <w:iCs/>
      <w:color w:val="272727" w:themeColor="text1" w:themeTint="D8"/>
      <w:lang w:val="es-MX"/>
    </w:rPr>
  </w:style>
  <w:style w:type="character" w:customStyle="1" w:styleId="Heading9Char">
    <w:name w:val="Heading 9 Char"/>
    <w:basedOn w:val="DefaultParagraphFont"/>
    <w:link w:val="Heading9"/>
    <w:uiPriority w:val="9"/>
    <w:semiHidden/>
    <w:rsid w:val="001B7A4E"/>
    <w:rPr>
      <w:rFonts w:eastAsiaTheme="majorEastAsia" w:cstheme="majorBidi"/>
      <w:color w:val="272727" w:themeColor="text1" w:themeTint="D8"/>
      <w:lang w:val="es-MX"/>
    </w:rPr>
  </w:style>
  <w:style w:type="paragraph" w:styleId="Title">
    <w:name w:val="Title"/>
    <w:basedOn w:val="Normal"/>
    <w:next w:val="Normal"/>
    <w:link w:val="TitleChar"/>
    <w:uiPriority w:val="10"/>
    <w:qFormat/>
    <w:rsid w:val="001B7A4E"/>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A4E"/>
    <w:rPr>
      <w:rFonts w:asciiTheme="majorHAnsi" w:eastAsiaTheme="majorEastAsia" w:hAnsiTheme="majorHAnsi" w:cstheme="majorBidi"/>
      <w:spacing w:val="-10"/>
      <w:kern w:val="28"/>
      <w:sz w:val="56"/>
      <w:szCs w:val="56"/>
      <w:lang w:val="es-MX"/>
    </w:rPr>
  </w:style>
  <w:style w:type="paragraph" w:styleId="Subtitle">
    <w:name w:val="Subtitle"/>
    <w:basedOn w:val="Normal"/>
    <w:next w:val="Normal"/>
    <w:link w:val="SubtitleChar"/>
    <w:uiPriority w:val="11"/>
    <w:qFormat/>
    <w:rsid w:val="001B7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A4E"/>
    <w:rPr>
      <w:rFonts w:eastAsiaTheme="majorEastAsia" w:cstheme="majorBidi"/>
      <w:color w:val="595959" w:themeColor="text1" w:themeTint="A6"/>
      <w:spacing w:val="15"/>
      <w:sz w:val="28"/>
      <w:szCs w:val="28"/>
      <w:lang w:val="es-MX"/>
    </w:rPr>
  </w:style>
  <w:style w:type="paragraph" w:styleId="Quote">
    <w:name w:val="Quote"/>
    <w:basedOn w:val="Normal"/>
    <w:next w:val="Normal"/>
    <w:link w:val="QuoteChar"/>
    <w:uiPriority w:val="29"/>
    <w:qFormat/>
    <w:rsid w:val="001B7A4E"/>
    <w:pPr>
      <w:spacing w:before="160"/>
      <w:jc w:val="center"/>
    </w:pPr>
    <w:rPr>
      <w:i/>
      <w:iCs/>
      <w:color w:val="404040" w:themeColor="text1" w:themeTint="BF"/>
    </w:rPr>
  </w:style>
  <w:style w:type="character" w:customStyle="1" w:styleId="QuoteChar">
    <w:name w:val="Quote Char"/>
    <w:basedOn w:val="DefaultParagraphFont"/>
    <w:link w:val="Quote"/>
    <w:uiPriority w:val="29"/>
    <w:rsid w:val="001B7A4E"/>
    <w:rPr>
      <w:i/>
      <w:iCs/>
      <w:color w:val="404040" w:themeColor="text1" w:themeTint="BF"/>
      <w:lang w:val="es-MX"/>
    </w:rPr>
  </w:style>
  <w:style w:type="paragraph" w:styleId="ListParagraph">
    <w:name w:val="List Paragraph"/>
    <w:basedOn w:val="Normal"/>
    <w:uiPriority w:val="34"/>
    <w:qFormat/>
    <w:rsid w:val="001B7A4E"/>
    <w:pPr>
      <w:ind w:left="720"/>
    </w:pPr>
  </w:style>
  <w:style w:type="character" w:styleId="IntenseEmphasis">
    <w:name w:val="Intense Emphasis"/>
    <w:basedOn w:val="DefaultParagraphFont"/>
    <w:uiPriority w:val="21"/>
    <w:qFormat/>
    <w:rsid w:val="001B7A4E"/>
    <w:rPr>
      <w:i/>
      <w:iCs/>
      <w:color w:val="2F5496" w:themeColor="accent1" w:themeShade="BF"/>
    </w:rPr>
  </w:style>
  <w:style w:type="paragraph" w:styleId="IntenseQuote">
    <w:name w:val="Intense Quote"/>
    <w:basedOn w:val="Normal"/>
    <w:next w:val="Normal"/>
    <w:link w:val="IntenseQuoteChar"/>
    <w:uiPriority w:val="30"/>
    <w:qFormat/>
    <w:rsid w:val="001B7A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A4E"/>
    <w:rPr>
      <w:i/>
      <w:iCs/>
      <w:color w:val="2F5496" w:themeColor="accent1" w:themeShade="BF"/>
      <w:lang w:val="es-MX"/>
    </w:rPr>
  </w:style>
  <w:style w:type="character" w:styleId="IntenseReference">
    <w:name w:val="Intense Reference"/>
    <w:basedOn w:val="DefaultParagraphFont"/>
    <w:uiPriority w:val="32"/>
    <w:qFormat/>
    <w:rsid w:val="001B7A4E"/>
    <w:rPr>
      <w:b/>
      <w:bCs/>
      <w:smallCaps/>
      <w:color w:val="2F5496" w:themeColor="accent1" w:themeShade="BF"/>
      <w:spacing w:val="5"/>
    </w:rPr>
  </w:style>
  <w:style w:type="paragraph" w:styleId="NormalWeb">
    <w:name w:val="Normal (Web)"/>
    <w:basedOn w:val="Normal"/>
    <w:uiPriority w:val="99"/>
    <w:semiHidden/>
    <w:unhideWhenUsed/>
    <w:rsid w:val="001B7A4E"/>
    <w:pPr>
      <w:spacing w:before="100" w:beforeAutospacing="1" w:after="100" w:afterAutospacing="1"/>
      <w:contextualSpacing w:val="0"/>
      <w:jc w:val="left"/>
    </w:pPr>
    <w:rPr>
      <w:rFonts w:ascii="Times New Roman" w:eastAsia="Times New Roman" w:hAnsi="Times New Roman" w:cs="Times New Roman"/>
      <w:sz w:val="24"/>
      <w:szCs w:val="24"/>
      <w:lang w:eastAsia="es-CO"/>
    </w:rPr>
  </w:style>
  <w:style w:type="table" w:styleId="TableGrid">
    <w:name w:val="Table Grid"/>
    <w:basedOn w:val="TableNormal"/>
    <w:uiPriority w:val="39"/>
    <w:rsid w:val="001B7A4E"/>
    <w:pPr>
      <w:spacing w:after="0" w:line="240" w:lineRule="auto"/>
      <w:ind w:firstLine="720"/>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15899"/>
    <w:rPr>
      <w:sz w:val="16"/>
      <w:szCs w:val="16"/>
    </w:rPr>
  </w:style>
  <w:style w:type="paragraph" w:styleId="CommentText">
    <w:name w:val="annotation text"/>
    <w:basedOn w:val="Normal"/>
    <w:link w:val="CommentTextChar"/>
    <w:uiPriority w:val="99"/>
    <w:unhideWhenUsed/>
    <w:rsid w:val="00E15899"/>
    <w:rPr>
      <w:szCs w:val="20"/>
    </w:rPr>
  </w:style>
  <w:style w:type="character" w:customStyle="1" w:styleId="CommentTextChar">
    <w:name w:val="Comment Text Char"/>
    <w:basedOn w:val="DefaultParagraphFont"/>
    <w:link w:val="CommentText"/>
    <w:uiPriority w:val="99"/>
    <w:rsid w:val="00E15899"/>
    <w:rPr>
      <w:rFonts w:ascii="Arial" w:hAnsi="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15899"/>
    <w:rPr>
      <w:b/>
      <w:bCs/>
    </w:rPr>
  </w:style>
  <w:style w:type="character" w:customStyle="1" w:styleId="CommentSubjectChar">
    <w:name w:val="Comment Subject Char"/>
    <w:basedOn w:val="CommentTextChar"/>
    <w:link w:val="CommentSubject"/>
    <w:uiPriority w:val="99"/>
    <w:semiHidden/>
    <w:rsid w:val="00E15899"/>
    <w:rPr>
      <w:rFonts w:ascii="Arial" w:hAnsi="Arial"/>
      <w:b/>
      <w:bCs/>
      <w:kern w:val="0"/>
      <w:sz w:val="20"/>
      <w:szCs w:val="20"/>
      <w14:ligatures w14:val="none"/>
    </w:rPr>
  </w:style>
  <w:style w:type="character" w:styleId="Hyperlink">
    <w:name w:val="Hyperlink"/>
    <w:basedOn w:val="DefaultParagraphFont"/>
    <w:uiPriority w:val="99"/>
    <w:unhideWhenUsed/>
    <w:rsid w:val="003327AE"/>
    <w:rPr>
      <w:color w:val="0563C1" w:themeColor="hyperlink"/>
      <w:u w:val="single"/>
    </w:rPr>
  </w:style>
  <w:style w:type="character" w:styleId="UnresolvedMention">
    <w:name w:val="Unresolved Mention"/>
    <w:basedOn w:val="DefaultParagraphFont"/>
    <w:uiPriority w:val="99"/>
    <w:semiHidden/>
    <w:unhideWhenUsed/>
    <w:rsid w:val="00332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Arc001</b:Tag>
    <b:SourceType>DocumentFromInternetSite</b:SourceType>
    <b:Guid>{320238C9-392D-47E8-AE43-84898DD0CEC4}</b:Guid>
    <b:Author>
      <b:Author>
        <b:Corporate>Archivo General de la Nación</b:Corporate>
      </b:Author>
    </b:Author>
    <b:Title>Ley 594</b:Title>
    <b:Year>2000</b:Year>
    <b:Month>Julio</b:Month>
    <b:Day>14</b:Day>
    <b:URL>https://normativa.archivogeneral.gov.co/ley-594-de-2000/?utm</b:URL>
    <b:RefOrder>16</b:RefOrder>
  </b:Source>
  <b:Source>
    <b:Tag>Fun</b:Tag>
    <b:SourceType>DocumentFromInternetSite</b:SourceType>
    <b:Guid>{61730522-A25B-4A9B-8AE6-B612587B0333}</b:Guid>
    <b:Author>
      <b:Author>
        <b:Corporate>Función Pública</b:Corporate>
      </b:Author>
    </b:Author>
    <b:Title>Gestión Documental</b:Title>
    <b:InternetSiteTitle>Instrumentos de Gestión de Información Pública</b:InternetSiteTitle>
    <b:URL>https://www1.funcionpublica.gov.co/gestion-documental?utm</b:URL>
    <b:RefOrder>17</b:RefOrder>
  </b:Source>
  <b:Source>
    <b:Tag>Fun20</b:Tag>
    <b:SourceType>DocumentFromInternetSite</b:SourceType>
    <b:Guid>{78EA4354-A3F3-47CD-9620-7AB876F35315}</b:Guid>
    <b:Author>
      <b:Author>
        <b:Corporate>Función Pública</b:Corporate>
      </b:Author>
    </b:Author>
    <b:Title>Guía para la gestión por procesos en el marco del modelo integrado de planeación y gestión (Mipg)</b:Title>
    <b:Year>2020</b:Year>
    <b:Month>Julio</b:Month>
    <b:URL>https://www1.funcionpublica.gov.co/web/eva/biblioteca-virtual/-/document_library/bGsp2IjUBdeu/view_file/36963907</b:URL>
    <b:RefOrder>13</b:RefOrder>
  </b:Source>
  <b:Source>
    <b:Tag>Pre934</b:Tag>
    <b:SourceType>DocumentFromInternetSite</b:SourceType>
    <b:Guid>{F6061678-8AF3-421D-A7C8-A922D6B32838}</b:Guid>
    <b:Author>
      <b:Author>
        <b:Corporate>Presidencia de la República de Colombia</b:Corporate>
      </b:Author>
    </b:Author>
    <b:Title>Decreto 2649</b:Title>
    <b:InternetSiteTitle>Función Pública</b:InternetSiteTitle>
    <b:Year>1993</b:Year>
    <b:Month>Diciembre</b:Month>
    <b:Day>29</b:Day>
    <b:URL>https://www.funcionpublica.gov.co/eva/gestornormativo/norma.php?i=9863</b:URL>
    <b:RefOrder>2</b:RefOrder>
  </b:Source>
  <b:Source>
    <b:Tag>Con251</b:Tag>
    <b:SourceType>DocumentFromInternetSite</b:SourceType>
    <b:Guid>{E3C0B3F7-3364-4AFC-AA8F-9A10F74D0C85}</b:Guid>
    <b:Author>
      <b:Author>
        <b:Corporate>Contaduría General de la Nación</b:Corporate>
      </b:Author>
    </b:Author>
    <b:Title>Resolución 347</b:Title>
    <b:Year>2025</b:Year>
    <b:Month>Diciembre</b:Month>
    <b:Day>4</b:Day>
    <b:URL>https://www.contaduria.gov.co/documents/d/guest/resolucion-347-de-2025?utm</b:URL>
    <b:RefOrder>15</b:RefOrder>
  </b:Source>
  <b:Source>
    <b:Tag>Con25</b:Tag>
    <b:SourceType>DocumentFromInternetSite</b:SourceType>
    <b:Guid>{0CBB035C-8532-4458-9456-5423A939551B}</b:Guid>
    <b:Author>
      <b:Author>
        <b:Corporate>Contaduría General de la Nación</b:Corporate>
      </b:Author>
    </b:Author>
    <b:Title>Procedimiento para la evaluación del control interno contable</b:Title>
    <b:Year>2025</b:Year>
    <b:Month>Diciembre</b:Month>
    <b:Day>10</b:Day>
    <b:URL>https://www.contaduria.gov.co/documents/d/guest/ANEXO%2BRES%2B347?utm</b:URL>
    <b:RefOrder>10</b:RefOrder>
  </b:Source>
  <b:Source>
    <b:Tag>Con93</b:Tag>
    <b:SourceType>DocumentFromInternetSite</b:SourceType>
    <b:Guid>{3A309C4D-579D-430A-887A-39219E2B4439}</b:Guid>
    <b:Author>
      <b:Author>
        <b:Corporate>Congreso de la República de Colombia</b:Corporate>
      </b:Author>
    </b:Author>
    <b:Title>Ley 87</b:Title>
    <b:InternetSiteTitle>Función Pública</b:InternetSiteTitle>
    <b:Year>1993</b:Year>
    <b:Month>Noviembre</b:Month>
    <b:Day>29</b:Day>
    <b:URL>https://www.funcionpublica.gov.co/eva/gestornormativo/norma.php?i=300</b:URL>
    <b:RefOrder>5</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F1096B-B0C6-4F25-94D3-BB05328456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96500D-2F2D-4EA1-B00B-B9CC69D7D3DC}">
  <ds:schemaRefs>
    <ds:schemaRef ds:uri="http://schemas.openxmlformats.org/officeDocument/2006/bibliography"/>
  </ds:schemaRefs>
</ds:datastoreItem>
</file>

<file path=customXml/itemProps3.xml><?xml version="1.0" encoding="utf-8"?>
<ds:datastoreItem xmlns:ds="http://schemas.openxmlformats.org/officeDocument/2006/customXml" ds:itemID="{F57A4882-8A84-4F96-87B7-12F35A625246}">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38CD0583-2966-4802-A003-75663F230F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2998</Words>
  <Characters>17571</Characters>
  <Application>Microsoft Office Word</Application>
  <DocSecurity>0</DocSecurity>
  <Lines>292</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Moya</dc:creator>
  <cp:keywords/>
  <dc:description/>
  <cp:lastModifiedBy>Henry Alvarez Astudillo</cp:lastModifiedBy>
  <cp:revision>4</cp:revision>
  <cp:lastPrinted>2026-05-28T13:02:00Z</cp:lastPrinted>
  <dcterms:created xsi:type="dcterms:W3CDTF">2026-04-11T12:31:00Z</dcterms:created>
  <dcterms:modified xsi:type="dcterms:W3CDTF">2026-05-28T13:04:00Z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