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A53FE"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031F24AA" wp14:editId="5CCE4B7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5E04EC79" w14:textId="77777777" w:rsidR="00C407C1" w:rsidRPr="003758F7" w:rsidRDefault="00C407C1" w:rsidP="00C407C1">
      <w:pPr>
        <w:rPr>
          <w:rFonts w:ascii="Calibri" w:hAnsi="Calibri"/>
          <w:b/>
          <w:bCs/>
          <w:color w:val="000000" w:themeColor="text1"/>
          <w:kern w:val="0"/>
          <w14:ligatures w14:val="none"/>
        </w:rPr>
      </w:pPr>
    </w:p>
    <w:p w14:paraId="7DF0B672" w14:textId="77777777" w:rsidR="00C407C1" w:rsidRPr="003758F7" w:rsidRDefault="00C407C1" w:rsidP="00E67707">
      <w:pPr>
        <w:jc w:val="center"/>
        <w:rPr>
          <w:rFonts w:ascii="Calibri" w:hAnsi="Calibri"/>
          <w:b/>
          <w:bCs/>
          <w:color w:val="000000" w:themeColor="text1"/>
          <w:kern w:val="0"/>
          <w14:ligatures w14:val="none"/>
        </w:rPr>
      </w:pPr>
    </w:p>
    <w:p w14:paraId="1694211D" w14:textId="77777777" w:rsidR="00C407C1" w:rsidRPr="003758F7" w:rsidRDefault="00C407C1" w:rsidP="00C407C1">
      <w:pPr>
        <w:rPr>
          <w:rFonts w:ascii="Calibri" w:hAnsi="Calibri"/>
          <w:b/>
          <w:bCs/>
          <w:color w:val="000000" w:themeColor="text1"/>
          <w:kern w:val="0"/>
          <w14:ligatures w14:val="none"/>
        </w:rPr>
      </w:pPr>
    </w:p>
    <w:p w14:paraId="4BC70603"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71333AC0" wp14:editId="5561D30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2D3E8EF0"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4E8C5ED" wp14:editId="10FDD28B">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236AD1B8" w14:textId="77777777" w:rsidR="00005140" w:rsidRPr="000059EE" w:rsidRDefault="00B8199D" w:rsidP="006C497A">
                            <w:pPr>
                              <w:pStyle w:val="TituloPortada"/>
                              <w:ind w:firstLine="0"/>
                              <w:rPr>
                                <w:sz w:val="68"/>
                                <w:szCs w:val="68"/>
                                <w:lang w:val="es-CO"/>
                              </w:rPr>
                            </w:pPr>
                            <w:r w:rsidRPr="00B8199D">
                              <w:rPr>
                                <w:bCs/>
                                <w:sz w:val="68"/>
                                <w:szCs w:val="68"/>
                                <w:lang w:val="es-ES"/>
                              </w:rPr>
                              <w:t>Liquidación, pago y control de nómina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E8C5ED"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236AD1B8" w14:textId="77777777" w:rsidR="00005140" w:rsidRPr="000059EE" w:rsidRDefault="00B8199D" w:rsidP="006C497A">
                      <w:pPr>
                        <w:pStyle w:val="TituloPortada"/>
                        <w:ind w:firstLine="0"/>
                        <w:rPr>
                          <w:sz w:val="68"/>
                          <w:szCs w:val="68"/>
                          <w:lang w:val="es-CO"/>
                        </w:rPr>
                      </w:pPr>
                      <w:r w:rsidRPr="00B8199D">
                        <w:rPr>
                          <w:bCs/>
                          <w:sz w:val="68"/>
                          <w:szCs w:val="68"/>
                          <w:lang w:val="es-ES"/>
                        </w:rPr>
                        <w:t>Liquidación, pago y control de nómina</w:t>
                      </w:r>
                    </w:p>
                  </w:txbxContent>
                </v:textbox>
              </v:shape>
            </w:pict>
          </mc:Fallback>
        </mc:AlternateContent>
      </w:r>
    </w:p>
    <w:p w14:paraId="53FE4B9A" w14:textId="77777777" w:rsidR="00C407C1" w:rsidRPr="003758F7" w:rsidRDefault="00C407C1" w:rsidP="00C407C1">
      <w:pPr>
        <w:rPr>
          <w:rFonts w:ascii="Calibri" w:hAnsi="Calibri"/>
          <w:b/>
          <w:bCs/>
          <w:color w:val="000000" w:themeColor="text1"/>
          <w:kern w:val="0"/>
          <w14:ligatures w14:val="none"/>
        </w:rPr>
      </w:pPr>
    </w:p>
    <w:p w14:paraId="5DA7388C" w14:textId="77777777" w:rsidR="00C407C1" w:rsidRPr="003758F7" w:rsidRDefault="00C407C1" w:rsidP="00C407C1">
      <w:pPr>
        <w:rPr>
          <w:rFonts w:ascii="Calibri" w:hAnsi="Calibri"/>
          <w:b/>
          <w:bCs/>
          <w:color w:val="000000" w:themeColor="text1"/>
          <w:kern w:val="0"/>
          <w14:ligatures w14:val="none"/>
        </w:rPr>
      </w:pPr>
    </w:p>
    <w:p w14:paraId="73313862" w14:textId="77777777" w:rsidR="00C407C1" w:rsidRPr="003758F7" w:rsidRDefault="00C407C1" w:rsidP="00C407C1">
      <w:pPr>
        <w:rPr>
          <w:rFonts w:ascii="Calibri" w:hAnsi="Calibri"/>
          <w:b/>
          <w:bCs/>
          <w:color w:val="000000" w:themeColor="text1"/>
          <w:kern w:val="0"/>
          <w14:ligatures w14:val="none"/>
        </w:rPr>
      </w:pPr>
    </w:p>
    <w:p w14:paraId="424D0C86" w14:textId="77777777" w:rsidR="00C407C1" w:rsidRPr="003758F7" w:rsidRDefault="00C407C1" w:rsidP="00C407C1">
      <w:pPr>
        <w:rPr>
          <w:rFonts w:ascii="Calibri" w:hAnsi="Calibri"/>
          <w:b/>
          <w:bCs/>
          <w:color w:val="000000" w:themeColor="text1"/>
          <w:kern w:val="0"/>
          <w14:ligatures w14:val="none"/>
        </w:rPr>
      </w:pPr>
    </w:p>
    <w:p w14:paraId="20E65383" w14:textId="77777777" w:rsidR="00570601" w:rsidRDefault="00570601" w:rsidP="00C407C1">
      <w:pPr>
        <w:rPr>
          <w:rFonts w:ascii="Calibri" w:hAnsi="Calibri"/>
          <w:b/>
          <w:bCs/>
          <w:color w:val="000000" w:themeColor="text1"/>
          <w:kern w:val="0"/>
          <w14:ligatures w14:val="none"/>
        </w:rPr>
      </w:pPr>
    </w:p>
    <w:p w14:paraId="3F1E9278"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2E5E32F"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La liquidación, el pago y el control de nómina comprenden la aplicación de procedimientos técnicos para calcular devengados, deducciones, aportes, prestaciones sociales y pagos a terceros. A partir de la información previamente validada, se generan comprobantes, registros contables y reportes, se concilian los valores liquidados y pagados, y se realizan los ajustes necesarios, garantizando exactitud, trazabilidad, seguridad de la información y cumplimiento de la normativa vigente.</w:t>
      </w:r>
    </w:p>
    <w:p w14:paraId="18493088"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4AD79C8F" w14:textId="77777777" w:rsidR="00C407C1" w:rsidRPr="003758F7" w:rsidRDefault="00373708" w:rsidP="00373708">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4C9DFAE8" w14:textId="77777777" w:rsidR="000434FA" w:rsidRPr="003758F7" w:rsidRDefault="00EC0858" w:rsidP="006156B5">
          <w:pPr>
            <w:pStyle w:val="TtuloTDC"/>
          </w:pPr>
          <w:r w:rsidRPr="003758F7">
            <w:t>Tabla de c</w:t>
          </w:r>
          <w:r w:rsidR="000434FA" w:rsidRPr="003758F7">
            <w:t>ontenido</w:t>
          </w:r>
        </w:p>
        <w:p w14:paraId="7C32E3E2" w14:textId="1A4139D0" w:rsidR="00AF610A"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4277529" w:history="1">
            <w:r w:rsidR="00AF610A" w:rsidRPr="00815516">
              <w:rPr>
                <w:rStyle w:val="Hipervnculo"/>
                <w:noProof/>
              </w:rPr>
              <w:t>Introducción</w:t>
            </w:r>
            <w:r w:rsidR="00AF610A">
              <w:rPr>
                <w:noProof/>
                <w:webHidden/>
              </w:rPr>
              <w:tab/>
            </w:r>
            <w:r w:rsidR="00AF610A">
              <w:rPr>
                <w:noProof/>
                <w:webHidden/>
              </w:rPr>
              <w:fldChar w:fldCharType="begin"/>
            </w:r>
            <w:r w:rsidR="00AF610A">
              <w:rPr>
                <w:noProof/>
                <w:webHidden/>
              </w:rPr>
              <w:instrText xml:space="preserve"> PAGEREF _Toc244277529 \h </w:instrText>
            </w:r>
            <w:r w:rsidR="00AF610A">
              <w:rPr>
                <w:noProof/>
                <w:webHidden/>
              </w:rPr>
            </w:r>
            <w:r w:rsidR="00AF610A">
              <w:rPr>
                <w:noProof/>
                <w:webHidden/>
              </w:rPr>
              <w:fldChar w:fldCharType="separate"/>
            </w:r>
            <w:r w:rsidR="005245BD">
              <w:rPr>
                <w:noProof/>
                <w:webHidden/>
              </w:rPr>
              <w:t>4</w:t>
            </w:r>
            <w:r w:rsidR="00AF610A">
              <w:rPr>
                <w:noProof/>
                <w:webHidden/>
              </w:rPr>
              <w:fldChar w:fldCharType="end"/>
            </w:r>
          </w:hyperlink>
        </w:p>
        <w:p w14:paraId="475D4023" w14:textId="3FB29311" w:rsidR="00AF610A" w:rsidRDefault="00000000">
          <w:pPr>
            <w:pStyle w:val="TDC1"/>
            <w:tabs>
              <w:tab w:val="right" w:leader="dot" w:pos="9962"/>
            </w:tabs>
            <w:rPr>
              <w:rFonts w:eastAsiaTheme="minorEastAsia"/>
              <w:noProof/>
              <w:sz w:val="24"/>
              <w:szCs w:val="24"/>
              <w:lang w:val="es-ES" w:eastAsia="es-ES"/>
            </w:rPr>
          </w:pPr>
          <w:hyperlink w:anchor="_Toc244277530" w:history="1">
            <w:r w:rsidR="00AF610A" w:rsidRPr="00815516">
              <w:rPr>
                <w:rStyle w:val="Hipervnculo"/>
                <w:noProof/>
              </w:rPr>
              <w:t>1. Preparación y metodología de la liquidación</w:t>
            </w:r>
            <w:r w:rsidR="00AF610A">
              <w:rPr>
                <w:noProof/>
                <w:webHidden/>
              </w:rPr>
              <w:tab/>
            </w:r>
            <w:r w:rsidR="00AF610A">
              <w:rPr>
                <w:noProof/>
                <w:webHidden/>
              </w:rPr>
              <w:fldChar w:fldCharType="begin"/>
            </w:r>
            <w:r w:rsidR="00AF610A">
              <w:rPr>
                <w:noProof/>
                <w:webHidden/>
              </w:rPr>
              <w:instrText xml:space="preserve"> PAGEREF _Toc244277530 \h </w:instrText>
            </w:r>
            <w:r w:rsidR="00AF610A">
              <w:rPr>
                <w:noProof/>
                <w:webHidden/>
              </w:rPr>
            </w:r>
            <w:r w:rsidR="00AF610A">
              <w:rPr>
                <w:noProof/>
                <w:webHidden/>
              </w:rPr>
              <w:fldChar w:fldCharType="separate"/>
            </w:r>
            <w:r w:rsidR="005245BD">
              <w:rPr>
                <w:noProof/>
                <w:webHidden/>
              </w:rPr>
              <w:t>5</w:t>
            </w:r>
            <w:r w:rsidR="00AF610A">
              <w:rPr>
                <w:noProof/>
                <w:webHidden/>
              </w:rPr>
              <w:fldChar w:fldCharType="end"/>
            </w:r>
          </w:hyperlink>
        </w:p>
        <w:p w14:paraId="5F7257A7" w14:textId="409417F8" w:rsidR="00AF610A" w:rsidRDefault="00000000">
          <w:pPr>
            <w:pStyle w:val="TDC2"/>
            <w:tabs>
              <w:tab w:val="right" w:leader="dot" w:pos="9962"/>
            </w:tabs>
            <w:rPr>
              <w:rFonts w:eastAsiaTheme="minorEastAsia"/>
              <w:noProof/>
              <w:sz w:val="24"/>
              <w:szCs w:val="24"/>
              <w:lang w:val="es-ES" w:eastAsia="es-ES"/>
            </w:rPr>
          </w:pPr>
          <w:hyperlink w:anchor="_Toc244277531" w:history="1">
            <w:r w:rsidR="00AF610A" w:rsidRPr="00815516">
              <w:rPr>
                <w:rStyle w:val="Hipervnculo"/>
                <w:noProof/>
              </w:rPr>
              <w:t>1.1. Ciclo de nómina, políticas y responsables</w:t>
            </w:r>
            <w:r w:rsidR="00AF610A">
              <w:rPr>
                <w:noProof/>
                <w:webHidden/>
              </w:rPr>
              <w:tab/>
            </w:r>
            <w:r w:rsidR="00AF610A">
              <w:rPr>
                <w:noProof/>
                <w:webHidden/>
              </w:rPr>
              <w:fldChar w:fldCharType="begin"/>
            </w:r>
            <w:r w:rsidR="00AF610A">
              <w:rPr>
                <w:noProof/>
                <w:webHidden/>
              </w:rPr>
              <w:instrText xml:space="preserve"> PAGEREF _Toc244277531 \h </w:instrText>
            </w:r>
            <w:r w:rsidR="00AF610A">
              <w:rPr>
                <w:noProof/>
                <w:webHidden/>
              </w:rPr>
            </w:r>
            <w:r w:rsidR="00AF610A">
              <w:rPr>
                <w:noProof/>
                <w:webHidden/>
              </w:rPr>
              <w:fldChar w:fldCharType="separate"/>
            </w:r>
            <w:r w:rsidR="005245BD">
              <w:rPr>
                <w:noProof/>
                <w:webHidden/>
              </w:rPr>
              <w:t>6</w:t>
            </w:r>
            <w:r w:rsidR="00AF610A">
              <w:rPr>
                <w:noProof/>
                <w:webHidden/>
              </w:rPr>
              <w:fldChar w:fldCharType="end"/>
            </w:r>
          </w:hyperlink>
        </w:p>
        <w:p w14:paraId="409992CF" w14:textId="1A6DCFBE" w:rsidR="00AF610A" w:rsidRDefault="00000000">
          <w:pPr>
            <w:pStyle w:val="TDC2"/>
            <w:tabs>
              <w:tab w:val="right" w:leader="dot" w:pos="9962"/>
            </w:tabs>
            <w:rPr>
              <w:rFonts w:eastAsiaTheme="minorEastAsia"/>
              <w:noProof/>
              <w:sz w:val="24"/>
              <w:szCs w:val="24"/>
              <w:lang w:val="es-ES" w:eastAsia="es-ES"/>
            </w:rPr>
          </w:pPr>
          <w:hyperlink w:anchor="_Toc244277532" w:history="1">
            <w:r w:rsidR="00AF610A" w:rsidRPr="00815516">
              <w:rPr>
                <w:rStyle w:val="Hipervnculo"/>
                <w:noProof/>
              </w:rPr>
              <w:t>1.2. Datos del trabajador, contrato y periodo liquidado</w:t>
            </w:r>
            <w:r w:rsidR="00AF610A">
              <w:rPr>
                <w:noProof/>
                <w:webHidden/>
              </w:rPr>
              <w:tab/>
            </w:r>
            <w:r w:rsidR="00AF610A">
              <w:rPr>
                <w:noProof/>
                <w:webHidden/>
              </w:rPr>
              <w:fldChar w:fldCharType="begin"/>
            </w:r>
            <w:r w:rsidR="00AF610A">
              <w:rPr>
                <w:noProof/>
                <w:webHidden/>
              </w:rPr>
              <w:instrText xml:space="preserve"> PAGEREF _Toc244277532 \h </w:instrText>
            </w:r>
            <w:r w:rsidR="00AF610A">
              <w:rPr>
                <w:noProof/>
                <w:webHidden/>
              </w:rPr>
            </w:r>
            <w:r w:rsidR="00AF610A">
              <w:rPr>
                <w:noProof/>
                <w:webHidden/>
              </w:rPr>
              <w:fldChar w:fldCharType="separate"/>
            </w:r>
            <w:r w:rsidR="005245BD">
              <w:rPr>
                <w:noProof/>
                <w:webHidden/>
              </w:rPr>
              <w:t>10</w:t>
            </w:r>
            <w:r w:rsidR="00AF610A">
              <w:rPr>
                <w:noProof/>
                <w:webHidden/>
              </w:rPr>
              <w:fldChar w:fldCharType="end"/>
            </w:r>
          </w:hyperlink>
        </w:p>
        <w:p w14:paraId="5EA1F3AD" w14:textId="58AD42E9" w:rsidR="00AF610A" w:rsidRDefault="00000000">
          <w:pPr>
            <w:pStyle w:val="TDC2"/>
            <w:tabs>
              <w:tab w:val="right" w:leader="dot" w:pos="9962"/>
            </w:tabs>
            <w:rPr>
              <w:rFonts w:eastAsiaTheme="minorEastAsia"/>
              <w:noProof/>
              <w:sz w:val="24"/>
              <w:szCs w:val="24"/>
              <w:lang w:val="es-ES" w:eastAsia="es-ES"/>
            </w:rPr>
          </w:pPr>
          <w:hyperlink w:anchor="_Toc244277533" w:history="1">
            <w:r w:rsidR="00AF610A" w:rsidRPr="00815516">
              <w:rPr>
                <w:rStyle w:val="Hipervnculo"/>
                <w:noProof/>
              </w:rPr>
              <w:t>1.3. Bases de liquidación e ingreso base de cotización</w:t>
            </w:r>
            <w:r w:rsidR="00AF610A">
              <w:rPr>
                <w:noProof/>
                <w:webHidden/>
              </w:rPr>
              <w:tab/>
            </w:r>
            <w:r w:rsidR="00AF610A">
              <w:rPr>
                <w:noProof/>
                <w:webHidden/>
              </w:rPr>
              <w:fldChar w:fldCharType="begin"/>
            </w:r>
            <w:r w:rsidR="00AF610A">
              <w:rPr>
                <w:noProof/>
                <w:webHidden/>
              </w:rPr>
              <w:instrText xml:space="preserve"> PAGEREF _Toc244277533 \h </w:instrText>
            </w:r>
            <w:r w:rsidR="00AF610A">
              <w:rPr>
                <w:noProof/>
                <w:webHidden/>
              </w:rPr>
            </w:r>
            <w:r w:rsidR="00AF610A">
              <w:rPr>
                <w:noProof/>
                <w:webHidden/>
              </w:rPr>
              <w:fldChar w:fldCharType="separate"/>
            </w:r>
            <w:r w:rsidR="005245BD">
              <w:rPr>
                <w:noProof/>
                <w:webHidden/>
              </w:rPr>
              <w:t>15</w:t>
            </w:r>
            <w:r w:rsidR="00AF610A">
              <w:rPr>
                <w:noProof/>
                <w:webHidden/>
              </w:rPr>
              <w:fldChar w:fldCharType="end"/>
            </w:r>
          </w:hyperlink>
        </w:p>
        <w:p w14:paraId="060E23F2" w14:textId="5EC6D082" w:rsidR="00AF610A" w:rsidRDefault="00000000">
          <w:pPr>
            <w:pStyle w:val="TDC2"/>
            <w:tabs>
              <w:tab w:val="right" w:leader="dot" w:pos="9962"/>
            </w:tabs>
            <w:rPr>
              <w:rFonts w:eastAsiaTheme="minorEastAsia"/>
              <w:noProof/>
              <w:sz w:val="24"/>
              <w:szCs w:val="24"/>
              <w:lang w:val="es-ES" w:eastAsia="es-ES"/>
            </w:rPr>
          </w:pPr>
          <w:hyperlink w:anchor="_Toc244277534" w:history="1">
            <w:r w:rsidR="00AF610A" w:rsidRPr="00815516">
              <w:rPr>
                <w:rStyle w:val="Hipervnculo"/>
                <w:noProof/>
              </w:rPr>
              <w:t>1.4. Fórmulas, proporcionalidad y aproximación de valores</w:t>
            </w:r>
            <w:r w:rsidR="00AF610A">
              <w:rPr>
                <w:noProof/>
                <w:webHidden/>
              </w:rPr>
              <w:tab/>
            </w:r>
            <w:r w:rsidR="00AF610A">
              <w:rPr>
                <w:noProof/>
                <w:webHidden/>
              </w:rPr>
              <w:fldChar w:fldCharType="begin"/>
            </w:r>
            <w:r w:rsidR="00AF610A">
              <w:rPr>
                <w:noProof/>
                <w:webHidden/>
              </w:rPr>
              <w:instrText xml:space="preserve"> PAGEREF _Toc244277534 \h </w:instrText>
            </w:r>
            <w:r w:rsidR="00AF610A">
              <w:rPr>
                <w:noProof/>
                <w:webHidden/>
              </w:rPr>
            </w:r>
            <w:r w:rsidR="00AF610A">
              <w:rPr>
                <w:noProof/>
                <w:webHidden/>
              </w:rPr>
              <w:fldChar w:fldCharType="separate"/>
            </w:r>
            <w:r w:rsidR="005245BD">
              <w:rPr>
                <w:noProof/>
                <w:webHidden/>
              </w:rPr>
              <w:t>19</w:t>
            </w:r>
            <w:r w:rsidR="00AF610A">
              <w:rPr>
                <w:noProof/>
                <w:webHidden/>
              </w:rPr>
              <w:fldChar w:fldCharType="end"/>
            </w:r>
          </w:hyperlink>
        </w:p>
        <w:p w14:paraId="6785A433" w14:textId="254EE0C1" w:rsidR="00AF610A" w:rsidRDefault="00000000">
          <w:pPr>
            <w:pStyle w:val="TDC2"/>
            <w:tabs>
              <w:tab w:val="right" w:leader="dot" w:pos="9962"/>
            </w:tabs>
            <w:rPr>
              <w:rFonts w:eastAsiaTheme="minorEastAsia"/>
              <w:noProof/>
              <w:sz w:val="24"/>
              <w:szCs w:val="24"/>
              <w:lang w:val="es-ES" w:eastAsia="es-ES"/>
            </w:rPr>
          </w:pPr>
          <w:hyperlink w:anchor="_Toc244277535" w:history="1">
            <w:r w:rsidR="00AF610A" w:rsidRPr="00815516">
              <w:rPr>
                <w:rStyle w:val="Hipervnculo"/>
                <w:noProof/>
              </w:rPr>
              <w:t>1.5. Depuración y revisión de la prenómina</w:t>
            </w:r>
            <w:r w:rsidR="00AF610A">
              <w:rPr>
                <w:noProof/>
                <w:webHidden/>
              </w:rPr>
              <w:tab/>
            </w:r>
            <w:r w:rsidR="00AF610A">
              <w:rPr>
                <w:noProof/>
                <w:webHidden/>
              </w:rPr>
              <w:fldChar w:fldCharType="begin"/>
            </w:r>
            <w:r w:rsidR="00AF610A">
              <w:rPr>
                <w:noProof/>
                <w:webHidden/>
              </w:rPr>
              <w:instrText xml:space="preserve"> PAGEREF _Toc244277535 \h </w:instrText>
            </w:r>
            <w:r w:rsidR="00AF610A">
              <w:rPr>
                <w:noProof/>
                <w:webHidden/>
              </w:rPr>
            </w:r>
            <w:r w:rsidR="00AF610A">
              <w:rPr>
                <w:noProof/>
                <w:webHidden/>
              </w:rPr>
              <w:fldChar w:fldCharType="separate"/>
            </w:r>
            <w:r w:rsidR="005245BD">
              <w:rPr>
                <w:noProof/>
                <w:webHidden/>
              </w:rPr>
              <w:t>22</w:t>
            </w:r>
            <w:r w:rsidR="00AF610A">
              <w:rPr>
                <w:noProof/>
                <w:webHidden/>
              </w:rPr>
              <w:fldChar w:fldCharType="end"/>
            </w:r>
          </w:hyperlink>
        </w:p>
        <w:p w14:paraId="0CF91597" w14:textId="4EC52308" w:rsidR="00AF610A" w:rsidRDefault="00000000">
          <w:pPr>
            <w:pStyle w:val="TDC1"/>
            <w:tabs>
              <w:tab w:val="right" w:leader="dot" w:pos="9962"/>
            </w:tabs>
            <w:rPr>
              <w:rFonts w:eastAsiaTheme="minorEastAsia"/>
              <w:noProof/>
              <w:sz w:val="24"/>
              <w:szCs w:val="24"/>
              <w:lang w:val="es-ES" w:eastAsia="es-ES"/>
            </w:rPr>
          </w:pPr>
          <w:hyperlink w:anchor="_Toc244277536" w:history="1">
            <w:r w:rsidR="00AF610A" w:rsidRPr="00815516">
              <w:rPr>
                <w:rStyle w:val="Hipervnculo"/>
                <w:noProof/>
              </w:rPr>
              <w:t>2. Liquidación de devengados y novedades</w:t>
            </w:r>
            <w:r w:rsidR="00AF610A">
              <w:rPr>
                <w:noProof/>
                <w:webHidden/>
              </w:rPr>
              <w:tab/>
            </w:r>
            <w:r w:rsidR="00AF610A">
              <w:rPr>
                <w:noProof/>
                <w:webHidden/>
              </w:rPr>
              <w:fldChar w:fldCharType="begin"/>
            </w:r>
            <w:r w:rsidR="00AF610A">
              <w:rPr>
                <w:noProof/>
                <w:webHidden/>
              </w:rPr>
              <w:instrText xml:space="preserve"> PAGEREF _Toc244277536 \h </w:instrText>
            </w:r>
            <w:r w:rsidR="00AF610A">
              <w:rPr>
                <w:noProof/>
                <w:webHidden/>
              </w:rPr>
            </w:r>
            <w:r w:rsidR="00AF610A">
              <w:rPr>
                <w:noProof/>
                <w:webHidden/>
              </w:rPr>
              <w:fldChar w:fldCharType="separate"/>
            </w:r>
            <w:r w:rsidR="005245BD">
              <w:rPr>
                <w:noProof/>
                <w:webHidden/>
              </w:rPr>
              <w:t>25</w:t>
            </w:r>
            <w:r w:rsidR="00AF610A">
              <w:rPr>
                <w:noProof/>
                <w:webHidden/>
              </w:rPr>
              <w:fldChar w:fldCharType="end"/>
            </w:r>
          </w:hyperlink>
        </w:p>
        <w:p w14:paraId="4ABE0C42" w14:textId="0945FE8C" w:rsidR="00AF610A" w:rsidRDefault="00000000">
          <w:pPr>
            <w:pStyle w:val="TDC2"/>
            <w:tabs>
              <w:tab w:val="right" w:leader="dot" w:pos="9962"/>
            </w:tabs>
            <w:rPr>
              <w:rFonts w:eastAsiaTheme="minorEastAsia"/>
              <w:noProof/>
              <w:sz w:val="24"/>
              <w:szCs w:val="24"/>
              <w:lang w:val="es-ES" w:eastAsia="es-ES"/>
            </w:rPr>
          </w:pPr>
          <w:hyperlink w:anchor="_Toc244277537" w:history="1">
            <w:r w:rsidR="00AF610A" w:rsidRPr="00815516">
              <w:rPr>
                <w:rStyle w:val="Hipervnculo"/>
                <w:noProof/>
              </w:rPr>
              <w:t>2.1. Salario y remuneración variable</w:t>
            </w:r>
            <w:r w:rsidR="00AF610A">
              <w:rPr>
                <w:noProof/>
                <w:webHidden/>
              </w:rPr>
              <w:tab/>
            </w:r>
            <w:r w:rsidR="00AF610A">
              <w:rPr>
                <w:noProof/>
                <w:webHidden/>
              </w:rPr>
              <w:fldChar w:fldCharType="begin"/>
            </w:r>
            <w:r w:rsidR="00AF610A">
              <w:rPr>
                <w:noProof/>
                <w:webHidden/>
              </w:rPr>
              <w:instrText xml:space="preserve"> PAGEREF _Toc244277537 \h </w:instrText>
            </w:r>
            <w:r w:rsidR="00AF610A">
              <w:rPr>
                <w:noProof/>
                <w:webHidden/>
              </w:rPr>
            </w:r>
            <w:r w:rsidR="00AF610A">
              <w:rPr>
                <w:noProof/>
                <w:webHidden/>
              </w:rPr>
              <w:fldChar w:fldCharType="separate"/>
            </w:r>
            <w:r w:rsidR="005245BD">
              <w:rPr>
                <w:noProof/>
                <w:webHidden/>
              </w:rPr>
              <w:t>25</w:t>
            </w:r>
            <w:r w:rsidR="00AF610A">
              <w:rPr>
                <w:noProof/>
                <w:webHidden/>
              </w:rPr>
              <w:fldChar w:fldCharType="end"/>
            </w:r>
          </w:hyperlink>
        </w:p>
        <w:p w14:paraId="77E927F9" w14:textId="6F8FB749" w:rsidR="00AF610A" w:rsidRDefault="00000000">
          <w:pPr>
            <w:pStyle w:val="TDC2"/>
            <w:tabs>
              <w:tab w:val="right" w:leader="dot" w:pos="9962"/>
            </w:tabs>
            <w:rPr>
              <w:rFonts w:eastAsiaTheme="minorEastAsia"/>
              <w:noProof/>
              <w:sz w:val="24"/>
              <w:szCs w:val="24"/>
              <w:lang w:val="es-ES" w:eastAsia="es-ES"/>
            </w:rPr>
          </w:pPr>
          <w:hyperlink w:anchor="_Toc244277538" w:history="1">
            <w:r w:rsidR="00AF610A" w:rsidRPr="00815516">
              <w:rPr>
                <w:rStyle w:val="Hipervnculo"/>
                <w:noProof/>
              </w:rPr>
              <w:t>2.2. Horas extras, trabajo nocturno y días de descanso</w:t>
            </w:r>
            <w:r w:rsidR="00AF610A">
              <w:rPr>
                <w:noProof/>
                <w:webHidden/>
              </w:rPr>
              <w:tab/>
            </w:r>
            <w:r w:rsidR="00AF610A">
              <w:rPr>
                <w:noProof/>
                <w:webHidden/>
              </w:rPr>
              <w:fldChar w:fldCharType="begin"/>
            </w:r>
            <w:r w:rsidR="00AF610A">
              <w:rPr>
                <w:noProof/>
                <w:webHidden/>
              </w:rPr>
              <w:instrText xml:space="preserve"> PAGEREF _Toc244277538 \h </w:instrText>
            </w:r>
            <w:r w:rsidR="00AF610A">
              <w:rPr>
                <w:noProof/>
                <w:webHidden/>
              </w:rPr>
            </w:r>
            <w:r w:rsidR="00AF610A">
              <w:rPr>
                <w:noProof/>
                <w:webHidden/>
              </w:rPr>
              <w:fldChar w:fldCharType="separate"/>
            </w:r>
            <w:r w:rsidR="005245BD">
              <w:rPr>
                <w:noProof/>
                <w:webHidden/>
              </w:rPr>
              <w:t>28</w:t>
            </w:r>
            <w:r w:rsidR="00AF610A">
              <w:rPr>
                <w:noProof/>
                <w:webHidden/>
              </w:rPr>
              <w:fldChar w:fldCharType="end"/>
            </w:r>
          </w:hyperlink>
        </w:p>
        <w:p w14:paraId="46AF8028" w14:textId="3BC2A613" w:rsidR="00AF610A" w:rsidRDefault="00000000">
          <w:pPr>
            <w:pStyle w:val="TDC2"/>
            <w:tabs>
              <w:tab w:val="right" w:leader="dot" w:pos="9962"/>
            </w:tabs>
            <w:rPr>
              <w:rFonts w:eastAsiaTheme="minorEastAsia"/>
              <w:noProof/>
              <w:sz w:val="24"/>
              <w:szCs w:val="24"/>
              <w:lang w:val="es-ES" w:eastAsia="es-ES"/>
            </w:rPr>
          </w:pPr>
          <w:hyperlink w:anchor="_Toc244277539" w:history="1">
            <w:r w:rsidR="00AF610A" w:rsidRPr="00815516">
              <w:rPr>
                <w:rStyle w:val="Hipervnculo"/>
                <w:noProof/>
              </w:rPr>
              <w:t>2.3. Incapacidades, licencias, ausencias y suspensiones</w:t>
            </w:r>
            <w:r w:rsidR="00AF610A">
              <w:rPr>
                <w:noProof/>
                <w:webHidden/>
              </w:rPr>
              <w:tab/>
            </w:r>
            <w:r w:rsidR="00AF610A">
              <w:rPr>
                <w:noProof/>
                <w:webHidden/>
              </w:rPr>
              <w:fldChar w:fldCharType="begin"/>
            </w:r>
            <w:r w:rsidR="00AF610A">
              <w:rPr>
                <w:noProof/>
                <w:webHidden/>
              </w:rPr>
              <w:instrText xml:space="preserve"> PAGEREF _Toc244277539 \h </w:instrText>
            </w:r>
            <w:r w:rsidR="00AF610A">
              <w:rPr>
                <w:noProof/>
                <w:webHidden/>
              </w:rPr>
            </w:r>
            <w:r w:rsidR="00AF610A">
              <w:rPr>
                <w:noProof/>
                <w:webHidden/>
              </w:rPr>
              <w:fldChar w:fldCharType="separate"/>
            </w:r>
            <w:r w:rsidR="005245BD">
              <w:rPr>
                <w:noProof/>
                <w:webHidden/>
              </w:rPr>
              <w:t>31</w:t>
            </w:r>
            <w:r w:rsidR="00AF610A">
              <w:rPr>
                <w:noProof/>
                <w:webHidden/>
              </w:rPr>
              <w:fldChar w:fldCharType="end"/>
            </w:r>
          </w:hyperlink>
        </w:p>
        <w:p w14:paraId="55D44C61" w14:textId="3E608E0F" w:rsidR="00AF610A" w:rsidRDefault="00000000">
          <w:pPr>
            <w:pStyle w:val="TDC2"/>
            <w:tabs>
              <w:tab w:val="right" w:leader="dot" w:pos="9962"/>
            </w:tabs>
            <w:rPr>
              <w:rFonts w:eastAsiaTheme="minorEastAsia"/>
              <w:noProof/>
              <w:sz w:val="24"/>
              <w:szCs w:val="24"/>
              <w:lang w:val="es-ES" w:eastAsia="es-ES"/>
            </w:rPr>
          </w:pPr>
          <w:hyperlink w:anchor="_Toc244277540" w:history="1">
            <w:r w:rsidR="00AF610A" w:rsidRPr="00815516">
              <w:rPr>
                <w:rStyle w:val="Hipervnculo"/>
                <w:noProof/>
              </w:rPr>
              <w:t>2.4. Vacaciones, prestaciones sociales y provisiones</w:t>
            </w:r>
            <w:r w:rsidR="00AF610A">
              <w:rPr>
                <w:noProof/>
                <w:webHidden/>
              </w:rPr>
              <w:tab/>
            </w:r>
            <w:r w:rsidR="00AF610A">
              <w:rPr>
                <w:noProof/>
                <w:webHidden/>
              </w:rPr>
              <w:fldChar w:fldCharType="begin"/>
            </w:r>
            <w:r w:rsidR="00AF610A">
              <w:rPr>
                <w:noProof/>
                <w:webHidden/>
              </w:rPr>
              <w:instrText xml:space="preserve"> PAGEREF _Toc244277540 \h </w:instrText>
            </w:r>
            <w:r w:rsidR="00AF610A">
              <w:rPr>
                <w:noProof/>
                <w:webHidden/>
              </w:rPr>
            </w:r>
            <w:r w:rsidR="00AF610A">
              <w:rPr>
                <w:noProof/>
                <w:webHidden/>
              </w:rPr>
              <w:fldChar w:fldCharType="separate"/>
            </w:r>
            <w:r w:rsidR="005245BD">
              <w:rPr>
                <w:noProof/>
                <w:webHidden/>
              </w:rPr>
              <w:t>35</w:t>
            </w:r>
            <w:r w:rsidR="00AF610A">
              <w:rPr>
                <w:noProof/>
                <w:webHidden/>
              </w:rPr>
              <w:fldChar w:fldCharType="end"/>
            </w:r>
          </w:hyperlink>
        </w:p>
        <w:p w14:paraId="4C831AE0" w14:textId="60AD8A0A" w:rsidR="00AF610A" w:rsidRDefault="00000000">
          <w:pPr>
            <w:pStyle w:val="TDC2"/>
            <w:tabs>
              <w:tab w:val="right" w:leader="dot" w:pos="9962"/>
            </w:tabs>
            <w:rPr>
              <w:rFonts w:eastAsiaTheme="minorEastAsia"/>
              <w:noProof/>
              <w:sz w:val="24"/>
              <w:szCs w:val="24"/>
              <w:lang w:val="es-ES" w:eastAsia="es-ES"/>
            </w:rPr>
          </w:pPr>
          <w:hyperlink w:anchor="_Toc244277541" w:history="1">
            <w:r w:rsidR="00AF610A" w:rsidRPr="00815516">
              <w:rPr>
                <w:rStyle w:val="Hipervnculo"/>
                <w:noProof/>
              </w:rPr>
              <w:t>2.5. Terminación, liquidación final e indemnizaciones</w:t>
            </w:r>
            <w:r w:rsidR="00AF610A">
              <w:rPr>
                <w:noProof/>
                <w:webHidden/>
              </w:rPr>
              <w:tab/>
            </w:r>
            <w:r w:rsidR="00AF610A">
              <w:rPr>
                <w:noProof/>
                <w:webHidden/>
              </w:rPr>
              <w:fldChar w:fldCharType="begin"/>
            </w:r>
            <w:r w:rsidR="00AF610A">
              <w:rPr>
                <w:noProof/>
                <w:webHidden/>
              </w:rPr>
              <w:instrText xml:space="preserve"> PAGEREF _Toc244277541 \h </w:instrText>
            </w:r>
            <w:r w:rsidR="00AF610A">
              <w:rPr>
                <w:noProof/>
                <w:webHidden/>
              </w:rPr>
            </w:r>
            <w:r w:rsidR="00AF610A">
              <w:rPr>
                <w:noProof/>
                <w:webHidden/>
              </w:rPr>
              <w:fldChar w:fldCharType="separate"/>
            </w:r>
            <w:r w:rsidR="005245BD">
              <w:rPr>
                <w:noProof/>
                <w:webHidden/>
              </w:rPr>
              <w:t>38</w:t>
            </w:r>
            <w:r w:rsidR="00AF610A">
              <w:rPr>
                <w:noProof/>
                <w:webHidden/>
              </w:rPr>
              <w:fldChar w:fldCharType="end"/>
            </w:r>
          </w:hyperlink>
        </w:p>
        <w:p w14:paraId="5CAAE3F5" w14:textId="0DCB6157" w:rsidR="00AF610A" w:rsidRDefault="00000000">
          <w:pPr>
            <w:pStyle w:val="TDC1"/>
            <w:tabs>
              <w:tab w:val="right" w:leader="dot" w:pos="9962"/>
            </w:tabs>
            <w:rPr>
              <w:rFonts w:eastAsiaTheme="minorEastAsia"/>
              <w:noProof/>
              <w:sz w:val="24"/>
              <w:szCs w:val="24"/>
              <w:lang w:val="es-ES" w:eastAsia="es-ES"/>
            </w:rPr>
          </w:pPr>
          <w:hyperlink w:anchor="_Toc244277542" w:history="1">
            <w:r w:rsidR="00AF610A" w:rsidRPr="00815516">
              <w:rPr>
                <w:rStyle w:val="Hipervnculo"/>
                <w:noProof/>
              </w:rPr>
              <w:t>3. Deducciones y pagos a terceros</w:t>
            </w:r>
            <w:r w:rsidR="00AF610A">
              <w:rPr>
                <w:noProof/>
                <w:webHidden/>
              </w:rPr>
              <w:tab/>
            </w:r>
            <w:r w:rsidR="00AF610A">
              <w:rPr>
                <w:noProof/>
                <w:webHidden/>
              </w:rPr>
              <w:fldChar w:fldCharType="begin"/>
            </w:r>
            <w:r w:rsidR="00AF610A">
              <w:rPr>
                <w:noProof/>
                <w:webHidden/>
              </w:rPr>
              <w:instrText xml:space="preserve"> PAGEREF _Toc244277542 \h </w:instrText>
            </w:r>
            <w:r w:rsidR="00AF610A">
              <w:rPr>
                <w:noProof/>
                <w:webHidden/>
              </w:rPr>
            </w:r>
            <w:r w:rsidR="00AF610A">
              <w:rPr>
                <w:noProof/>
                <w:webHidden/>
              </w:rPr>
              <w:fldChar w:fldCharType="separate"/>
            </w:r>
            <w:r w:rsidR="005245BD">
              <w:rPr>
                <w:noProof/>
                <w:webHidden/>
              </w:rPr>
              <w:t>43</w:t>
            </w:r>
            <w:r w:rsidR="00AF610A">
              <w:rPr>
                <w:noProof/>
                <w:webHidden/>
              </w:rPr>
              <w:fldChar w:fldCharType="end"/>
            </w:r>
          </w:hyperlink>
        </w:p>
        <w:p w14:paraId="22F80D04" w14:textId="1F454EFE" w:rsidR="00AF610A" w:rsidRDefault="00000000">
          <w:pPr>
            <w:pStyle w:val="TDC2"/>
            <w:tabs>
              <w:tab w:val="right" w:leader="dot" w:pos="9962"/>
            </w:tabs>
            <w:rPr>
              <w:rFonts w:eastAsiaTheme="minorEastAsia"/>
              <w:noProof/>
              <w:sz w:val="24"/>
              <w:szCs w:val="24"/>
              <w:lang w:val="es-ES" w:eastAsia="es-ES"/>
            </w:rPr>
          </w:pPr>
          <w:hyperlink w:anchor="_Toc244277543" w:history="1">
            <w:r w:rsidR="00AF610A" w:rsidRPr="00815516">
              <w:rPr>
                <w:rStyle w:val="Hipervnculo"/>
                <w:noProof/>
              </w:rPr>
              <w:t>3.1. Aportes descontados al trabajador</w:t>
            </w:r>
            <w:r w:rsidR="00AF610A">
              <w:rPr>
                <w:noProof/>
                <w:webHidden/>
              </w:rPr>
              <w:tab/>
            </w:r>
            <w:r w:rsidR="00AF610A">
              <w:rPr>
                <w:noProof/>
                <w:webHidden/>
              </w:rPr>
              <w:fldChar w:fldCharType="begin"/>
            </w:r>
            <w:r w:rsidR="00AF610A">
              <w:rPr>
                <w:noProof/>
                <w:webHidden/>
              </w:rPr>
              <w:instrText xml:space="preserve"> PAGEREF _Toc244277543 \h </w:instrText>
            </w:r>
            <w:r w:rsidR="00AF610A">
              <w:rPr>
                <w:noProof/>
                <w:webHidden/>
              </w:rPr>
            </w:r>
            <w:r w:rsidR="00AF610A">
              <w:rPr>
                <w:noProof/>
                <w:webHidden/>
              </w:rPr>
              <w:fldChar w:fldCharType="separate"/>
            </w:r>
            <w:r w:rsidR="005245BD">
              <w:rPr>
                <w:noProof/>
                <w:webHidden/>
              </w:rPr>
              <w:t>43</w:t>
            </w:r>
            <w:r w:rsidR="00AF610A">
              <w:rPr>
                <w:noProof/>
                <w:webHidden/>
              </w:rPr>
              <w:fldChar w:fldCharType="end"/>
            </w:r>
          </w:hyperlink>
        </w:p>
        <w:p w14:paraId="21181238" w14:textId="73A8BD16" w:rsidR="00AF610A" w:rsidRDefault="00000000">
          <w:pPr>
            <w:pStyle w:val="TDC2"/>
            <w:tabs>
              <w:tab w:val="right" w:leader="dot" w:pos="9962"/>
            </w:tabs>
            <w:rPr>
              <w:rFonts w:eastAsiaTheme="minorEastAsia"/>
              <w:noProof/>
              <w:sz w:val="24"/>
              <w:szCs w:val="24"/>
              <w:lang w:val="es-ES" w:eastAsia="es-ES"/>
            </w:rPr>
          </w:pPr>
          <w:hyperlink w:anchor="_Toc244277544" w:history="1">
            <w:r w:rsidR="00AF610A" w:rsidRPr="00815516">
              <w:rPr>
                <w:rStyle w:val="Hipervnculo"/>
                <w:noProof/>
              </w:rPr>
              <w:t>3.2. Retenciones, embargos y deducciones autorizadas</w:t>
            </w:r>
            <w:r w:rsidR="00AF610A">
              <w:rPr>
                <w:noProof/>
                <w:webHidden/>
              </w:rPr>
              <w:tab/>
            </w:r>
            <w:r w:rsidR="00AF610A">
              <w:rPr>
                <w:noProof/>
                <w:webHidden/>
              </w:rPr>
              <w:fldChar w:fldCharType="begin"/>
            </w:r>
            <w:r w:rsidR="00AF610A">
              <w:rPr>
                <w:noProof/>
                <w:webHidden/>
              </w:rPr>
              <w:instrText xml:space="preserve"> PAGEREF _Toc244277544 \h </w:instrText>
            </w:r>
            <w:r w:rsidR="00AF610A">
              <w:rPr>
                <w:noProof/>
                <w:webHidden/>
              </w:rPr>
            </w:r>
            <w:r w:rsidR="00AF610A">
              <w:rPr>
                <w:noProof/>
                <w:webHidden/>
              </w:rPr>
              <w:fldChar w:fldCharType="separate"/>
            </w:r>
            <w:r w:rsidR="005245BD">
              <w:rPr>
                <w:noProof/>
                <w:webHidden/>
              </w:rPr>
              <w:t>47</w:t>
            </w:r>
            <w:r w:rsidR="00AF610A">
              <w:rPr>
                <w:noProof/>
                <w:webHidden/>
              </w:rPr>
              <w:fldChar w:fldCharType="end"/>
            </w:r>
          </w:hyperlink>
        </w:p>
        <w:p w14:paraId="337FB7ED" w14:textId="3F6A66A3" w:rsidR="00AF610A" w:rsidRDefault="00000000">
          <w:pPr>
            <w:pStyle w:val="TDC2"/>
            <w:tabs>
              <w:tab w:val="right" w:leader="dot" w:pos="9962"/>
            </w:tabs>
            <w:rPr>
              <w:rFonts w:eastAsiaTheme="minorEastAsia"/>
              <w:noProof/>
              <w:sz w:val="24"/>
              <w:szCs w:val="24"/>
              <w:lang w:val="es-ES" w:eastAsia="es-ES"/>
            </w:rPr>
          </w:pPr>
          <w:hyperlink w:anchor="_Toc244277545" w:history="1">
            <w:r w:rsidR="00AF610A" w:rsidRPr="00815516">
              <w:rPr>
                <w:rStyle w:val="Hipervnculo"/>
                <w:noProof/>
              </w:rPr>
              <w:t>3.3. Aportes patronales y parafiscales</w:t>
            </w:r>
            <w:r w:rsidR="00AF610A">
              <w:rPr>
                <w:noProof/>
                <w:webHidden/>
              </w:rPr>
              <w:tab/>
            </w:r>
            <w:r w:rsidR="00AF610A">
              <w:rPr>
                <w:noProof/>
                <w:webHidden/>
              </w:rPr>
              <w:fldChar w:fldCharType="begin"/>
            </w:r>
            <w:r w:rsidR="00AF610A">
              <w:rPr>
                <w:noProof/>
                <w:webHidden/>
              </w:rPr>
              <w:instrText xml:space="preserve"> PAGEREF _Toc244277545 \h </w:instrText>
            </w:r>
            <w:r w:rsidR="00AF610A">
              <w:rPr>
                <w:noProof/>
                <w:webHidden/>
              </w:rPr>
            </w:r>
            <w:r w:rsidR="00AF610A">
              <w:rPr>
                <w:noProof/>
                <w:webHidden/>
              </w:rPr>
              <w:fldChar w:fldCharType="separate"/>
            </w:r>
            <w:r w:rsidR="005245BD">
              <w:rPr>
                <w:noProof/>
                <w:webHidden/>
              </w:rPr>
              <w:t>50</w:t>
            </w:r>
            <w:r w:rsidR="00AF610A">
              <w:rPr>
                <w:noProof/>
                <w:webHidden/>
              </w:rPr>
              <w:fldChar w:fldCharType="end"/>
            </w:r>
          </w:hyperlink>
        </w:p>
        <w:p w14:paraId="45BFC0CF" w14:textId="733ADD66" w:rsidR="00AF610A" w:rsidRDefault="00000000">
          <w:pPr>
            <w:pStyle w:val="TDC2"/>
            <w:tabs>
              <w:tab w:val="right" w:leader="dot" w:pos="9962"/>
            </w:tabs>
            <w:rPr>
              <w:rFonts w:eastAsiaTheme="minorEastAsia"/>
              <w:noProof/>
              <w:sz w:val="24"/>
              <w:szCs w:val="24"/>
              <w:lang w:val="es-ES" w:eastAsia="es-ES"/>
            </w:rPr>
          </w:pPr>
          <w:hyperlink w:anchor="_Toc244277546" w:history="1">
            <w:r w:rsidR="00AF610A" w:rsidRPr="00815516">
              <w:rPr>
                <w:rStyle w:val="Hipervnculo"/>
                <w:noProof/>
              </w:rPr>
              <w:t>3.4. Planilla Integrada de Liquidación de Aportes</w:t>
            </w:r>
            <w:r w:rsidR="00AF610A">
              <w:rPr>
                <w:noProof/>
                <w:webHidden/>
              </w:rPr>
              <w:tab/>
            </w:r>
            <w:r w:rsidR="00AF610A">
              <w:rPr>
                <w:noProof/>
                <w:webHidden/>
              </w:rPr>
              <w:fldChar w:fldCharType="begin"/>
            </w:r>
            <w:r w:rsidR="00AF610A">
              <w:rPr>
                <w:noProof/>
                <w:webHidden/>
              </w:rPr>
              <w:instrText xml:space="preserve"> PAGEREF _Toc244277546 \h </w:instrText>
            </w:r>
            <w:r w:rsidR="00AF610A">
              <w:rPr>
                <w:noProof/>
                <w:webHidden/>
              </w:rPr>
            </w:r>
            <w:r w:rsidR="00AF610A">
              <w:rPr>
                <w:noProof/>
                <w:webHidden/>
              </w:rPr>
              <w:fldChar w:fldCharType="separate"/>
            </w:r>
            <w:r w:rsidR="005245BD">
              <w:rPr>
                <w:noProof/>
                <w:webHidden/>
              </w:rPr>
              <w:t>54</w:t>
            </w:r>
            <w:r w:rsidR="00AF610A">
              <w:rPr>
                <w:noProof/>
                <w:webHidden/>
              </w:rPr>
              <w:fldChar w:fldCharType="end"/>
            </w:r>
          </w:hyperlink>
        </w:p>
        <w:p w14:paraId="6854AA80" w14:textId="78F57B53" w:rsidR="00AF610A" w:rsidRDefault="00000000">
          <w:pPr>
            <w:pStyle w:val="TDC2"/>
            <w:tabs>
              <w:tab w:val="right" w:leader="dot" w:pos="9962"/>
            </w:tabs>
            <w:rPr>
              <w:rFonts w:eastAsiaTheme="minorEastAsia"/>
              <w:noProof/>
              <w:sz w:val="24"/>
              <w:szCs w:val="24"/>
              <w:lang w:val="es-ES" w:eastAsia="es-ES"/>
            </w:rPr>
          </w:pPr>
          <w:hyperlink w:anchor="_Toc244277547" w:history="1">
            <w:r w:rsidR="00AF610A" w:rsidRPr="00815516">
              <w:rPr>
                <w:rStyle w:val="Hipervnculo"/>
                <w:noProof/>
              </w:rPr>
              <w:t>3.5. Pagos a administradoras y demás terceros</w:t>
            </w:r>
            <w:r w:rsidR="00AF610A">
              <w:rPr>
                <w:noProof/>
                <w:webHidden/>
              </w:rPr>
              <w:tab/>
            </w:r>
            <w:r w:rsidR="00AF610A">
              <w:rPr>
                <w:noProof/>
                <w:webHidden/>
              </w:rPr>
              <w:fldChar w:fldCharType="begin"/>
            </w:r>
            <w:r w:rsidR="00AF610A">
              <w:rPr>
                <w:noProof/>
                <w:webHidden/>
              </w:rPr>
              <w:instrText xml:space="preserve"> PAGEREF _Toc244277547 \h </w:instrText>
            </w:r>
            <w:r w:rsidR="00AF610A">
              <w:rPr>
                <w:noProof/>
                <w:webHidden/>
              </w:rPr>
            </w:r>
            <w:r w:rsidR="00AF610A">
              <w:rPr>
                <w:noProof/>
                <w:webHidden/>
              </w:rPr>
              <w:fldChar w:fldCharType="separate"/>
            </w:r>
            <w:r w:rsidR="005245BD">
              <w:rPr>
                <w:noProof/>
                <w:webHidden/>
              </w:rPr>
              <w:t>56</w:t>
            </w:r>
            <w:r w:rsidR="00AF610A">
              <w:rPr>
                <w:noProof/>
                <w:webHidden/>
              </w:rPr>
              <w:fldChar w:fldCharType="end"/>
            </w:r>
          </w:hyperlink>
        </w:p>
        <w:p w14:paraId="131DE085" w14:textId="30BEB7AD" w:rsidR="00AF610A" w:rsidRDefault="00000000">
          <w:pPr>
            <w:pStyle w:val="TDC1"/>
            <w:tabs>
              <w:tab w:val="right" w:leader="dot" w:pos="9962"/>
            </w:tabs>
            <w:rPr>
              <w:rFonts w:eastAsiaTheme="minorEastAsia"/>
              <w:noProof/>
              <w:sz w:val="24"/>
              <w:szCs w:val="24"/>
              <w:lang w:val="es-ES" w:eastAsia="es-ES"/>
            </w:rPr>
          </w:pPr>
          <w:hyperlink w:anchor="_Toc244277548" w:history="1">
            <w:r w:rsidR="00AF610A" w:rsidRPr="00815516">
              <w:rPr>
                <w:rStyle w:val="Hipervnculo"/>
                <w:noProof/>
              </w:rPr>
              <w:t>4. Pago, contabilización y conciliación de nómina</w:t>
            </w:r>
            <w:r w:rsidR="00AF610A">
              <w:rPr>
                <w:noProof/>
                <w:webHidden/>
              </w:rPr>
              <w:tab/>
            </w:r>
            <w:r w:rsidR="00AF610A">
              <w:rPr>
                <w:noProof/>
                <w:webHidden/>
              </w:rPr>
              <w:fldChar w:fldCharType="begin"/>
            </w:r>
            <w:r w:rsidR="00AF610A">
              <w:rPr>
                <w:noProof/>
                <w:webHidden/>
              </w:rPr>
              <w:instrText xml:space="preserve"> PAGEREF _Toc244277548 \h </w:instrText>
            </w:r>
            <w:r w:rsidR="00AF610A">
              <w:rPr>
                <w:noProof/>
                <w:webHidden/>
              </w:rPr>
            </w:r>
            <w:r w:rsidR="00AF610A">
              <w:rPr>
                <w:noProof/>
                <w:webHidden/>
              </w:rPr>
              <w:fldChar w:fldCharType="separate"/>
            </w:r>
            <w:r w:rsidR="005245BD">
              <w:rPr>
                <w:noProof/>
                <w:webHidden/>
              </w:rPr>
              <w:t>61</w:t>
            </w:r>
            <w:r w:rsidR="00AF610A">
              <w:rPr>
                <w:noProof/>
                <w:webHidden/>
              </w:rPr>
              <w:fldChar w:fldCharType="end"/>
            </w:r>
          </w:hyperlink>
        </w:p>
        <w:p w14:paraId="7C3B16FE" w14:textId="52BC6E2A" w:rsidR="00AF610A" w:rsidRDefault="00000000">
          <w:pPr>
            <w:pStyle w:val="TDC2"/>
            <w:tabs>
              <w:tab w:val="right" w:leader="dot" w:pos="9962"/>
            </w:tabs>
            <w:rPr>
              <w:rFonts w:eastAsiaTheme="minorEastAsia"/>
              <w:noProof/>
              <w:sz w:val="24"/>
              <w:szCs w:val="24"/>
              <w:lang w:val="es-ES" w:eastAsia="es-ES"/>
            </w:rPr>
          </w:pPr>
          <w:hyperlink w:anchor="_Toc244277549" w:history="1">
            <w:r w:rsidR="00AF610A" w:rsidRPr="00815516">
              <w:rPr>
                <w:rStyle w:val="Hipervnculo"/>
                <w:noProof/>
              </w:rPr>
              <w:t>4.1. Revisión, autorización y aprobación de la nómina</w:t>
            </w:r>
            <w:r w:rsidR="00AF610A">
              <w:rPr>
                <w:noProof/>
                <w:webHidden/>
              </w:rPr>
              <w:tab/>
            </w:r>
            <w:r w:rsidR="00AF610A">
              <w:rPr>
                <w:noProof/>
                <w:webHidden/>
              </w:rPr>
              <w:fldChar w:fldCharType="begin"/>
            </w:r>
            <w:r w:rsidR="00AF610A">
              <w:rPr>
                <w:noProof/>
                <w:webHidden/>
              </w:rPr>
              <w:instrText xml:space="preserve"> PAGEREF _Toc244277549 \h </w:instrText>
            </w:r>
            <w:r w:rsidR="00AF610A">
              <w:rPr>
                <w:noProof/>
                <w:webHidden/>
              </w:rPr>
            </w:r>
            <w:r w:rsidR="00AF610A">
              <w:rPr>
                <w:noProof/>
                <w:webHidden/>
              </w:rPr>
              <w:fldChar w:fldCharType="separate"/>
            </w:r>
            <w:r w:rsidR="005245BD">
              <w:rPr>
                <w:noProof/>
                <w:webHidden/>
              </w:rPr>
              <w:t>61</w:t>
            </w:r>
            <w:r w:rsidR="00AF610A">
              <w:rPr>
                <w:noProof/>
                <w:webHidden/>
              </w:rPr>
              <w:fldChar w:fldCharType="end"/>
            </w:r>
          </w:hyperlink>
        </w:p>
        <w:p w14:paraId="01EE15D3" w14:textId="6ED0928F" w:rsidR="00AF610A" w:rsidRDefault="00000000">
          <w:pPr>
            <w:pStyle w:val="TDC2"/>
            <w:tabs>
              <w:tab w:val="right" w:leader="dot" w:pos="9962"/>
            </w:tabs>
            <w:rPr>
              <w:rFonts w:eastAsiaTheme="minorEastAsia"/>
              <w:noProof/>
              <w:sz w:val="24"/>
              <w:szCs w:val="24"/>
              <w:lang w:val="es-ES" w:eastAsia="es-ES"/>
            </w:rPr>
          </w:pPr>
          <w:hyperlink w:anchor="_Toc244277550" w:history="1">
            <w:r w:rsidR="00AF610A" w:rsidRPr="00815516">
              <w:rPr>
                <w:rStyle w:val="Hipervnculo"/>
                <w:noProof/>
              </w:rPr>
              <w:t>4.2. Medios de pago y generación de comprobantes</w:t>
            </w:r>
            <w:r w:rsidR="00AF610A">
              <w:rPr>
                <w:noProof/>
                <w:webHidden/>
              </w:rPr>
              <w:tab/>
            </w:r>
            <w:r w:rsidR="00AF610A">
              <w:rPr>
                <w:noProof/>
                <w:webHidden/>
              </w:rPr>
              <w:fldChar w:fldCharType="begin"/>
            </w:r>
            <w:r w:rsidR="00AF610A">
              <w:rPr>
                <w:noProof/>
                <w:webHidden/>
              </w:rPr>
              <w:instrText xml:space="preserve"> PAGEREF _Toc244277550 \h </w:instrText>
            </w:r>
            <w:r w:rsidR="00AF610A">
              <w:rPr>
                <w:noProof/>
                <w:webHidden/>
              </w:rPr>
            </w:r>
            <w:r w:rsidR="00AF610A">
              <w:rPr>
                <w:noProof/>
                <w:webHidden/>
              </w:rPr>
              <w:fldChar w:fldCharType="separate"/>
            </w:r>
            <w:r w:rsidR="005245BD">
              <w:rPr>
                <w:noProof/>
                <w:webHidden/>
              </w:rPr>
              <w:t>64</w:t>
            </w:r>
            <w:r w:rsidR="00AF610A">
              <w:rPr>
                <w:noProof/>
                <w:webHidden/>
              </w:rPr>
              <w:fldChar w:fldCharType="end"/>
            </w:r>
          </w:hyperlink>
        </w:p>
        <w:p w14:paraId="25C7E365" w14:textId="7EA33FD8" w:rsidR="00AF610A" w:rsidRDefault="00000000">
          <w:pPr>
            <w:pStyle w:val="TDC2"/>
            <w:tabs>
              <w:tab w:val="right" w:leader="dot" w:pos="9962"/>
            </w:tabs>
            <w:rPr>
              <w:rFonts w:eastAsiaTheme="minorEastAsia"/>
              <w:noProof/>
              <w:sz w:val="24"/>
              <w:szCs w:val="24"/>
              <w:lang w:val="es-ES" w:eastAsia="es-ES"/>
            </w:rPr>
          </w:pPr>
          <w:hyperlink w:anchor="_Toc244277551" w:history="1">
            <w:r w:rsidR="00AF610A" w:rsidRPr="00815516">
              <w:rPr>
                <w:rStyle w:val="Hipervnculo"/>
                <w:noProof/>
              </w:rPr>
              <w:t>4.3. Contabilización de gastos, obligaciones y provisiones</w:t>
            </w:r>
            <w:r w:rsidR="00AF610A">
              <w:rPr>
                <w:noProof/>
                <w:webHidden/>
              </w:rPr>
              <w:tab/>
            </w:r>
            <w:r w:rsidR="00AF610A">
              <w:rPr>
                <w:noProof/>
                <w:webHidden/>
              </w:rPr>
              <w:fldChar w:fldCharType="begin"/>
            </w:r>
            <w:r w:rsidR="00AF610A">
              <w:rPr>
                <w:noProof/>
                <w:webHidden/>
              </w:rPr>
              <w:instrText xml:space="preserve"> PAGEREF _Toc244277551 \h </w:instrText>
            </w:r>
            <w:r w:rsidR="00AF610A">
              <w:rPr>
                <w:noProof/>
                <w:webHidden/>
              </w:rPr>
            </w:r>
            <w:r w:rsidR="00AF610A">
              <w:rPr>
                <w:noProof/>
                <w:webHidden/>
              </w:rPr>
              <w:fldChar w:fldCharType="separate"/>
            </w:r>
            <w:r w:rsidR="005245BD">
              <w:rPr>
                <w:noProof/>
                <w:webHidden/>
              </w:rPr>
              <w:t>66</w:t>
            </w:r>
            <w:r w:rsidR="00AF610A">
              <w:rPr>
                <w:noProof/>
                <w:webHidden/>
              </w:rPr>
              <w:fldChar w:fldCharType="end"/>
            </w:r>
          </w:hyperlink>
        </w:p>
        <w:p w14:paraId="006B65D3" w14:textId="281D79A6" w:rsidR="00AF610A" w:rsidRDefault="00000000">
          <w:pPr>
            <w:pStyle w:val="TDC2"/>
            <w:tabs>
              <w:tab w:val="right" w:leader="dot" w:pos="9962"/>
            </w:tabs>
            <w:rPr>
              <w:rFonts w:eastAsiaTheme="minorEastAsia"/>
              <w:noProof/>
              <w:sz w:val="24"/>
              <w:szCs w:val="24"/>
              <w:lang w:val="es-ES" w:eastAsia="es-ES"/>
            </w:rPr>
          </w:pPr>
          <w:hyperlink w:anchor="_Toc244277552" w:history="1">
            <w:r w:rsidR="00AF610A" w:rsidRPr="00815516">
              <w:rPr>
                <w:rStyle w:val="Hipervnculo"/>
                <w:noProof/>
              </w:rPr>
              <w:t>4.4. Conciliación entre nómina, PILA, contabilidad y bancos</w:t>
            </w:r>
            <w:r w:rsidR="00AF610A">
              <w:rPr>
                <w:noProof/>
                <w:webHidden/>
              </w:rPr>
              <w:tab/>
            </w:r>
            <w:r w:rsidR="00AF610A">
              <w:rPr>
                <w:noProof/>
                <w:webHidden/>
              </w:rPr>
              <w:fldChar w:fldCharType="begin"/>
            </w:r>
            <w:r w:rsidR="00AF610A">
              <w:rPr>
                <w:noProof/>
                <w:webHidden/>
              </w:rPr>
              <w:instrText xml:space="preserve"> PAGEREF _Toc244277552 \h </w:instrText>
            </w:r>
            <w:r w:rsidR="00AF610A">
              <w:rPr>
                <w:noProof/>
                <w:webHidden/>
              </w:rPr>
            </w:r>
            <w:r w:rsidR="00AF610A">
              <w:rPr>
                <w:noProof/>
                <w:webHidden/>
              </w:rPr>
              <w:fldChar w:fldCharType="separate"/>
            </w:r>
            <w:r w:rsidR="005245BD">
              <w:rPr>
                <w:noProof/>
                <w:webHidden/>
              </w:rPr>
              <w:t>69</w:t>
            </w:r>
            <w:r w:rsidR="00AF610A">
              <w:rPr>
                <w:noProof/>
                <w:webHidden/>
              </w:rPr>
              <w:fldChar w:fldCharType="end"/>
            </w:r>
          </w:hyperlink>
        </w:p>
        <w:p w14:paraId="332E08C0" w14:textId="1732AEC4" w:rsidR="00AF610A" w:rsidRDefault="00000000">
          <w:pPr>
            <w:pStyle w:val="TDC2"/>
            <w:tabs>
              <w:tab w:val="right" w:leader="dot" w:pos="9962"/>
            </w:tabs>
            <w:rPr>
              <w:rFonts w:eastAsiaTheme="minorEastAsia"/>
              <w:noProof/>
              <w:sz w:val="24"/>
              <w:szCs w:val="24"/>
              <w:lang w:val="es-ES" w:eastAsia="es-ES"/>
            </w:rPr>
          </w:pPr>
          <w:hyperlink w:anchor="_Toc244277553" w:history="1">
            <w:r w:rsidR="00AF610A" w:rsidRPr="00815516">
              <w:rPr>
                <w:rStyle w:val="Hipervnculo"/>
                <w:noProof/>
              </w:rPr>
              <w:t>4.5. Nómina electrónica y reportes del periodo</w:t>
            </w:r>
            <w:r w:rsidR="00AF610A">
              <w:rPr>
                <w:noProof/>
                <w:webHidden/>
              </w:rPr>
              <w:tab/>
            </w:r>
            <w:r w:rsidR="00AF610A">
              <w:rPr>
                <w:noProof/>
                <w:webHidden/>
              </w:rPr>
              <w:fldChar w:fldCharType="begin"/>
            </w:r>
            <w:r w:rsidR="00AF610A">
              <w:rPr>
                <w:noProof/>
                <w:webHidden/>
              </w:rPr>
              <w:instrText xml:space="preserve"> PAGEREF _Toc244277553 \h </w:instrText>
            </w:r>
            <w:r w:rsidR="00AF610A">
              <w:rPr>
                <w:noProof/>
                <w:webHidden/>
              </w:rPr>
            </w:r>
            <w:r w:rsidR="00AF610A">
              <w:rPr>
                <w:noProof/>
                <w:webHidden/>
              </w:rPr>
              <w:fldChar w:fldCharType="separate"/>
            </w:r>
            <w:r w:rsidR="005245BD">
              <w:rPr>
                <w:noProof/>
                <w:webHidden/>
              </w:rPr>
              <w:t>71</w:t>
            </w:r>
            <w:r w:rsidR="00AF610A">
              <w:rPr>
                <w:noProof/>
                <w:webHidden/>
              </w:rPr>
              <w:fldChar w:fldCharType="end"/>
            </w:r>
          </w:hyperlink>
        </w:p>
        <w:p w14:paraId="081270F7" w14:textId="2DEE4F45" w:rsidR="00AF610A" w:rsidRDefault="00000000">
          <w:pPr>
            <w:pStyle w:val="TDC1"/>
            <w:tabs>
              <w:tab w:val="right" w:leader="dot" w:pos="9962"/>
            </w:tabs>
            <w:rPr>
              <w:rFonts w:eastAsiaTheme="minorEastAsia"/>
              <w:noProof/>
              <w:sz w:val="24"/>
              <w:szCs w:val="24"/>
              <w:lang w:val="es-ES" w:eastAsia="es-ES"/>
            </w:rPr>
          </w:pPr>
          <w:hyperlink w:anchor="_Toc244277554" w:history="1">
            <w:r w:rsidR="00AF610A" w:rsidRPr="00815516">
              <w:rPr>
                <w:rStyle w:val="Hipervnculo"/>
                <w:noProof/>
              </w:rPr>
              <w:t>Síntesis</w:t>
            </w:r>
            <w:r w:rsidR="00AF610A">
              <w:rPr>
                <w:noProof/>
                <w:webHidden/>
              </w:rPr>
              <w:tab/>
            </w:r>
            <w:r w:rsidR="00AF610A">
              <w:rPr>
                <w:noProof/>
                <w:webHidden/>
              </w:rPr>
              <w:fldChar w:fldCharType="begin"/>
            </w:r>
            <w:r w:rsidR="00AF610A">
              <w:rPr>
                <w:noProof/>
                <w:webHidden/>
              </w:rPr>
              <w:instrText xml:space="preserve"> PAGEREF _Toc244277554 \h </w:instrText>
            </w:r>
            <w:r w:rsidR="00AF610A">
              <w:rPr>
                <w:noProof/>
                <w:webHidden/>
              </w:rPr>
            </w:r>
            <w:r w:rsidR="00AF610A">
              <w:rPr>
                <w:noProof/>
                <w:webHidden/>
              </w:rPr>
              <w:fldChar w:fldCharType="separate"/>
            </w:r>
            <w:r w:rsidR="005245BD">
              <w:rPr>
                <w:noProof/>
                <w:webHidden/>
              </w:rPr>
              <w:t>75</w:t>
            </w:r>
            <w:r w:rsidR="00AF610A">
              <w:rPr>
                <w:noProof/>
                <w:webHidden/>
              </w:rPr>
              <w:fldChar w:fldCharType="end"/>
            </w:r>
          </w:hyperlink>
        </w:p>
        <w:p w14:paraId="46847016" w14:textId="51A7556E" w:rsidR="00AF610A" w:rsidRDefault="00000000">
          <w:pPr>
            <w:pStyle w:val="TDC1"/>
            <w:tabs>
              <w:tab w:val="right" w:leader="dot" w:pos="9962"/>
            </w:tabs>
            <w:rPr>
              <w:rFonts w:eastAsiaTheme="minorEastAsia"/>
              <w:noProof/>
              <w:sz w:val="24"/>
              <w:szCs w:val="24"/>
              <w:lang w:val="es-ES" w:eastAsia="es-ES"/>
            </w:rPr>
          </w:pPr>
          <w:hyperlink w:anchor="_Toc244277555" w:history="1">
            <w:r w:rsidR="00AF610A" w:rsidRPr="00815516">
              <w:rPr>
                <w:rStyle w:val="Hipervnculo"/>
                <w:noProof/>
              </w:rPr>
              <w:t>Glosario</w:t>
            </w:r>
            <w:r w:rsidR="00AF610A">
              <w:rPr>
                <w:noProof/>
                <w:webHidden/>
              </w:rPr>
              <w:tab/>
            </w:r>
            <w:r w:rsidR="00AF610A">
              <w:rPr>
                <w:noProof/>
                <w:webHidden/>
              </w:rPr>
              <w:fldChar w:fldCharType="begin"/>
            </w:r>
            <w:r w:rsidR="00AF610A">
              <w:rPr>
                <w:noProof/>
                <w:webHidden/>
              </w:rPr>
              <w:instrText xml:space="preserve"> PAGEREF _Toc244277555 \h </w:instrText>
            </w:r>
            <w:r w:rsidR="00AF610A">
              <w:rPr>
                <w:noProof/>
                <w:webHidden/>
              </w:rPr>
            </w:r>
            <w:r w:rsidR="00AF610A">
              <w:rPr>
                <w:noProof/>
                <w:webHidden/>
              </w:rPr>
              <w:fldChar w:fldCharType="separate"/>
            </w:r>
            <w:r w:rsidR="005245BD">
              <w:rPr>
                <w:noProof/>
                <w:webHidden/>
              </w:rPr>
              <w:t>76</w:t>
            </w:r>
            <w:r w:rsidR="00AF610A">
              <w:rPr>
                <w:noProof/>
                <w:webHidden/>
              </w:rPr>
              <w:fldChar w:fldCharType="end"/>
            </w:r>
          </w:hyperlink>
        </w:p>
        <w:p w14:paraId="61CCCE99" w14:textId="6417DFAA" w:rsidR="00AF610A" w:rsidRDefault="00000000">
          <w:pPr>
            <w:pStyle w:val="TDC1"/>
            <w:tabs>
              <w:tab w:val="right" w:leader="dot" w:pos="9962"/>
            </w:tabs>
            <w:rPr>
              <w:rFonts w:eastAsiaTheme="minorEastAsia"/>
              <w:noProof/>
              <w:sz w:val="24"/>
              <w:szCs w:val="24"/>
              <w:lang w:val="es-ES" w:eastAsia="es-ES"/>
            </w:rPr>
          </w:pPr>
          <w:hyperlink w:anchor="_Toc244277556" w:history="1">
            <w:r w:rsidR="00AF610A" w:rsidRPr="00815516">
              <w:rPr>
                <w:rStyle w:val="Hipervnculo"/>
                <w:noProof/>
              </w:rPr>
              <w:t>Referencias bibliográficas</w:t>
            </w:r>
            <w:r w:rsidR="00AF610A">
              <w:rPr>
                <w:noProof/>
                <w:webHidden/>
              </w:rPr>
              <w:tab/>
            </w:r>
            <w:r w:rsidR="00AF610A">
              <w:rPr>
                <w:noProof/>
                <w:webHidden/>
              </w:rPr>
              <w:fldChar w:fldCharType="begin"/>
            </w:r>
            <w:r w:rsidR="00AF610A">
              <w:rPr>
                <w:noProof/>
                <w:webHidden/>
              </w:rPr>
              <w:instrText xml:space="preserve"> PAGEREF _Toc244277556 \h </w:instrText>
            </w:r>
            <w:r w:rsidR="00AF610A">
              <w:rPr>
                <w:noProof/>
                <w:webHidden/>
              </w:rPr>
            </w:r>
            <w:r w:rsidR="00AF610A">
              <w:rPr>
                <w:noProof/>
                <w:webHidden/>
              </w:rPr>
              <w:fldChar w:fldCharType="separate"/>
            </w:r>
            <w:r w:rsidR="005245BD">
              <w:rPr>
                <w:noProof/>
                <w:webHidden/>
              </w:rPr>
              <w:t>78</w:t>
            </w:r>
            <w:r w:rsidR="00AF610A">
              <w:rPr>
                <w:noProof/>
                <w:webHidden/>
              </w:rPr>
              <w:fldChar w:fldCharType="end"/>
            </w:r>
          </w:hyperlink>
        </w:p>
        <w:p w14:paraId="091EBA92" w14:textId="41DC8512" w:rsidR="00AF610A" w:rsidRDefault="00000000">
          <w:pPr>
            <w:pStyle w:val="TDC1"/>
            <w:tabs>
              <w:tab w:val="right" w:leader="dot" w:pos="9962"/>
            </w:tabs>
            <w:rPr>
              <w:rFonts w:eastAsiaTheme="minorEastAsia"/>
              <w:noProof/>
              <w:sz w:val="24"/>
              <w:szCs w:val="24"/>
              <w:lang w:val="es-ES" w:eastAsia="es-ES"/>
            </w:rPr>
          </w:pPr>
          <w:hyperlink w:anchor="_Toc244277557" w:history="1">
            <w:r w:rsidR="00AF610A" w:rsidRPr="00815516">
              <w:rPr>
                <w:rStyle w:val="Hipervnculo"/>
                <w:noProof/>
              </w:rPr>
              <w:t>Créditos</w:t>
            </w:r>
            <w:r w:rsidR="00AF610A">
              <w:rPr>
                <w:noProof/>
                <w:webHidden/>
              </w:rPr>
              <w:tab/>
            </w:r>
            <w:r w:rsidR="00AF610A">
              <w:rPr>
                <w:noProof/>
                <w:webHidden/>
              </w:rPr>
              <w:fldChar w:fldCharType="begin"/>
            </w:r>
            <w:r w:rsidR="00AF610A">
              <w:rPr>
                <w:noProof/>
                <w:webHidden/>
              </w:rPr>
              <w:instrText xml:space="preserve"> PAGEREF _Toc244277557 \h </w:instrText>
            </w:r>
            <w:r w:rsidR="00AF610A">
              <w:rPr>
                <w:noProof/>
                <w:webHidden/>
              </w:rPr>
            </w:r>
            <w:r w:rsidR="00AF610A">
              <w:rPr>
                <w:noProof/>
                <w:webHidden/>
              </w:rPr>
              <w:fldChar w:fldCharType="separate"/>
            </w:r>
            <w:r w:rsidR="005245BD">
              <w:rPr>
                <w:noProof/>
                <w:webHidden/>
              </w:rPr>
              <w:t>82</w:t>
            </w:r>
            <w:r w:rsidR="00AF610A">
              <w:rPr>
                <w:noProof/>
                <w:webHidden/>
              </w:rPr>
              <w:fldChar w:fldCharType="end"/>
            </w:r>
          </w:hyperlink>
        </w:p>
        <w:p w14:paraId="3D415B4D" w14:textId="7AE83798" w:rsidR="000434FA" w:rsidRPr="003758F7" w:rsidRDefault="00436C80" w:rsidP="00F6196E">
          <w:pPr>
            <w:ind w:firstLine="0"/>
          </w:pPr>
          <w:r w:rsidRPr="003758F7">
            <w:fldChar w:fldCharType="end"/>
          </w:r>
        </w:p>
      </w:sdtContent>
    </w:sdt>
    <w:p w14:paraId="0F58669A" w14:textId="77777777" w:rsidR="007F2B44" w:rsidRPr="003758F7" w:rsidRDefault="007F2B44" w:rsidP="006156B5">
      <w:pPr>
        <w:pStyle w:val="Titulosgenerales"/>
      </w:pPr>
      <w:bookmarkStart w:id="0" w:name="_Toc244277529"/>
      <w:r w:rsidRPr="003758F7">
        <w:lastRenderedPageBreak/>
        <w:t>Introducción</w:t>
      </w:r>
      <w:bookmarkEnd w:id="0"/>
    </w:p>
    <w:p w14:paraId="4D64DC50" w14:textId="77777777" w:rsidR="00612C5F" w:rsidRDefault="00000000">
      <w:r>
        <w:t>La liquidación de nómina es un proceso esencial para reconocer de manera correcta y oportuna los derechos económicos de los trabajadores y cumplir las obligaciones laborales asumidas por el empleador. Su ejecución requiere utilizar los datos contractuales, salariales y de afiliación previamente verificados, interpretar las novedades del periodo y aplicar procedimientos de cálculo que permitan establecer con precisión los valores devengados, deducidos y pagados.</w:t>
      </w:r>
    </w:p>
    <w:p w14:paraId="3164D602" w14:textId="77777777" w:rsidR="00612C5F" w:rsidRDefault="00000000">
      <w:r>
        <w:t>El proceso no termina con la determinación del valor neto que recibe el trabajador. También comprende el cálculo de los aportes al Sistema de Seguridad Social Integral, los aportes parafiscales, las retenciones, los embargos y las demás obligaciones destinadas a terceros. Además, incluye la elaboración de comprobantes, la generación de la nómina electrónica, la contabilización de gastos y obligaciones, y la conciliación de la información con la PILA, los registros contables y los movimientos bancarios.</w:t>
      </w:r>
    </w:p>
    <w:p w14:paraId="0472E89E" w14:textId="77777777" w:rsidR="00612C5F" w:rsidRDefault="00000000">
      <w:r>
        <w:t>El desarrollo de situaciones prácticas permite analizar salarios, jornadas, horas extras, incapacidades, licencias, vacaciones, prestaciones sociales y terminaciones contractuales. De igual manera, facilita la identificación de errores, la realización de reliquidaciones y ajustes, la conservación de la trazabilidad de los cambios y la protección de los soportes generados. Estos procedimientos contribuyen a ejecutar la nómina con criterios de exactitud, transparencia, seguridad de la información y cumplimiento normativo.</w:t>
      </w:r>
    </w:p>
    <w:p w14:paraId="4752995D" w14:textId="77777777" w:rsidR="00612C5F" w:rsidRDefault="00000000">
      <w:r>
        <w:br w:type="page"/>
      </w:r>
    </w:p>
    <w:p w14:paraId="46D265D1" w14:textId="77777777" w:rsidR="00612C5F" w:rsidRDefault="00000000">
      <w:pPr>
        <w:pStyle w:val="Ttulo1"/>
      </w:pPr>
      <w:bookmarkStart w:id="1" w:name="_Toc244277530"/>
      <w:r>
        <w:lastRenderedPageBreak/>
        <w:t>Preparación y metodología de la liquidación</w:t>
      </w:r>
      <w:bookmarkEnd w:id="1"/>
    </w:p>
    <w:p w14:paraId="1098E563" w14:textId="77777777" w:rsidR="00612C5F" w:rsidRDefault="00000000">
      <w:r>
        <w:t>La liquidación de nómina debe comenzar con la revisión de las condiciones que identifican la relación laboral y determinan los pagos correspondientes: trabajador, modalidad contractual, salario, jornada, periodo de pago, fecha de ingreso, novedades y demás condiciones pactadas. El contrato escrito debe contener, entre otros datos, la identificación de las partes, el lugar de prestación del servicio, la naturaleza del trabajo, la remuneración, los periodos de pago y la duración del vínculo (Código Sustantivo del Trabajo, 1950).</w:t>
      </w:r>
    </w:p>
    <w:p w14:paraId="54A4AE00" w14:textId="77777777" w:rsidR="00612C5F" w:rsidRDefault="00000000">
      <w:r>
        <w:t>La información laboral debe relacionarse con las novedades y los valores que posteriormente se reportan a la seguridad social. La estructura de la Planilla Integrada de Liquidación de Aportes (PILA) contempla campos para identificar al cotizante, las administradoras, los días cotizados, el salario básico, los ingresos base de cotización y las novedades de ingreso, retiro, variación salarial, suspensión, incapacidad, licencia y vacaciones. Por esta razón, las fechas y bases utilizadas en la nómina deben ser coherentes con los datos reportados mediante la planilla (Resolución 2388 de 2016).</w:t>
      </w:r>
    </w:p>
    <w:p w14:paraId="4CB42831" w14:textId="77777777" w:rsidR="00612C5F" w:rsidRDefault="00000000">
      <w:r>
        <w:t>La preparación también comprende la generación y revisión de resultados preliminares, debido a que la información de la nómina puede utilizarse para producir comprobantes, registros contables, archivos de pago, reportes a la seguridad social y el documento soporte de pago de nómina electrónica. La regulación de este documento identifica los valores devengados, los valores deducidos y la diferencia resultante, y contempla notas de ajuste cuando sea necesario corregir la información transmitida (DIAN, 2025).</w:t>
      </w:r>
    </w:p>
    <w:p w14:paraId="3676B2BF" w14:textId="77777777" w:rsidR="00612C5F" w:rsidRDefault="00000000">
      <w:r>
        <w:t xml:space="preserve">En consecuencia, la preparación de la liquidación no consiste únicamente en ingresar datos en una hoja de cálculo o en un </w:t>
      </w:r>
      <w:r>
        <w:rPr>
          <w:rStyle w:val="Extranjerismo"/>
        </w:rPr>
        <w:t>software</w:t>
      </w:r>
      <w:r>
        <w:t xml:space="preserve">. Requiere establecer un </w:t>
      </w:r>
      <w:r>
        <w:lastRenderedPageBreak/>
        <w:t>procedimiento que determine fechas, fuentes de información, responsables, controles, bases, fórmulas y evidencias, de manera que cada valor pueda ser explicado desde su origen hasta su pago o reporte (Código Sustantivo del Trabajo, 1950).</w:t>
      </w:r>
    </w:p>
    <w:p w14:paraId="02B42627" w14:textId="77777777" w:rsidR="00612C5F" w:rsidRDefault="00000000">
      <w:pPr>
        <w:pStyle w:val="Ttulo2"/>
      </w:pPr>
      <w:bookmarkStart w:id="2" w:name="_Toc244277531"/>
      <w:r>
        <w:t>Ciclo de nómina, políticas y responsables</w:t>
      </w:r>
      <w:bookmarkEnd w:id="2"/>
    </w:p>
    <w:p w14:paraId="542854B3" w14:textId="77777777" w:rsidR="00612C5F" w:rsidRDefault="00000000">
      <w:r>
        <w:t>El ciclo de nómina comprende las actividades realizadas desde la apertura del periodo hasta la aprobación, el pago, la contabilización, el reporte y la conservación de los soportes. Su organización depende del tamaño y de los procedimientos de cada entidad, pero debe permitir que las novedades, los días cotizados, los ingresos base de cotización y los valores pagados sean registrados y verificados antes de generar los reportes definitivos (Resolución 0634 de 2006; DIAN; OFIMA, 2026).</w:t>
      </w:r>
    </w:p>
    <w:p w14:paraId="2A462927" w14:textId="77777777" w:rsidR="00612C5F" w:rsidRDefault="00000000">
      <w:r>
        <w:t>La periodicidad definida por la organización debe respetar las condiciones pactadas y los límites laborales. El salario en dinero se paga por periodos iguales y vencidos; el periodo de pago de los jornales no puede ser superior a una semana y el de los sueldos no puede ser mayor de un mes.</w:t>
      </w:r>
    </w:p>
    <w:p w14:paraId="60A58AA4" w14:textId="77777777" w:rsidR="00612C5F" w:rsidRDefault="00000000">
      <w:r>
        <w:t>El trabajo suplementario y el recargo nocturno deben pagarse con el salario del periodo en que se causaron o, a más tardar, con el salario del periodo siguiente (Código Sustantivo del Trabajo, 1950).</w:t>
      </w:r>
    </w:p>
    <w:p w14:paraId="49C4AEBD" w14:textId="77777777" w:rsidR="00612C5F" w:rsidRDefault="00000000">
      <w:r>
        <w:t>Una organización puede pagar semanal, quincenal o mensualmente, de acuerdo con la forma de remuneración y sus políticas. Sin embargo, el periodo de pago al trabajador no siempre coincide con los demás procesos. Por ejemplo, una empresa puede pagar quincenalmente y consolidar mensualmente la información utilizada para la PILA, la contabilización y la nómina electrónica.</w:t>
      </w:r>
    </w:p>
    <w:p w14:paraId="1970577D" w14:textId="77777777" w:rsidR="00612C5F" w:rsidRDefault="00000000">
      <w:r>
        <w:lastRenderedPageBreak/>
        <w:t>El calendario debe establecer las fechas de apertura, recepción y cierre de novedades, generación de la prenómina, revisión, aprobación y pago. También debe definir el procedimiento aplicable a los documentos recibidos después del cierre. Cuando una novedad extemporánea afecta días cotizados, bases o valores reportados, debe analizarse la necesidad de corregir la nómina, la PILA o el documento soporte de pago de nómina electrónica, conservando la evidencia del cambio.</w:t>
      </w:r>
    </w:p>
    <w:p w14:paraId="05D90D30" w14:textId="77777777" w:rsidR="00612C5F" w:rsidRDefault="00000000">
      <w:r>
        <w:t>Las siguientes etapas organizan el procesamiento de la nómina, desde la apertura del periodo hasta el archivo de los soportes. Cada una integra la actividad principal, el responsable habitual, el control requerido y la evidencia correspondiente:</w:t>
      </w:r>
    </w:p>
    <w:p w14:paraId="72DB9572" w14:textId="77777777" w:rsidR="00612C5F" w:rsidRDefault="00000000">
      <w:pPr>
        <w:pStyle w:val="Listaconvietas"/>
        <w:ind w:left="1134"/>
      </w:pPr>
      <w:r>
        <w:rPr>
          <w:b/>
        </w:rPr>
        <w:t>Apertura.</w:t>
      </w:r>
      <w:r>
        <w:t xml:space="preserve"> Se habilita el periodo y se revisan los parámetros vigentes. Nómina o talento humano verifica las fechas, los conceptos, la jornada y la configuración. La evidencia de esta actividad es el registro de apertura.</w:t>
      </w:r>
    </w:p>
    <w:p w14:paraId="6D011A4B" w14:textId="77777777" w:rsidR="00612C5F" w:rsidRDefault="00000000">
      <w:pPr>
        <w:pStyle w:val="Listaconvietas"/>
        <w:ind w:left="1134"/>
      </w:pPr>
      <w:r>
        <w:rPr>
          <w:b/>
        </w:rPr>
        <w:t>Recepción de novedades.</w:t>
      </w:r>
      <w:r>
        <w:t xml:space="preserve"> Se recopilan ingresos, retiros, horas adicionales, ausencias, incapacidades y deducciones. Participan jefes, trabajadores y talento humano, quienes deben comprobar la oportunidad, autorización y soporte de la información. Se conservan los formatos y documentos correspondientes.</w:t>
      </w:r>
    </w:p>
    <w:p w14:paraId="5E5A8E07" w14:textId="77777777" w:rsidR="00612C5F" w:rsidRDefault="00000000">
      <w:pPr>
        <w:pStyle w:val="Listaconvietas"/>
        <w:ind w:left="1134"/>
      </w:pPr>
      <w:r>
        <w:rPr>
          <w:b/>
        </w:rPr>
        <w:t>Cierre de novedades.</w:t>
      </w:r>
      <w:r>
        <w:t xml:space="preserve"> Se finaliza la recepción ordinaria de información. Talento humano o nómina identifica los pendientes y las novedades extemporáneas. La evidencia es la relación de novedades cerradas.</w:t>
      </w:r>
    </w:p>
    <w:p w14:paraId="53079A34" w14:textId="77777777" w:rsidR="00612C5F" w:rsidRDefault="00000000">
      <w:pPr>
        <w:pStyle w:val="Listaconvietas"/>
        <w:ind w:left="1134"/>
      </w:pPr>
      <w:r>
        <w:rPr>
          <w:b/>
        </w:rPr>
        <w:t>Actualización de datos.</w:t>
      </w:r>
      <w:r>
        <w:t xml:space="preserve"> Se registran los cambios contractuales, salariales, bancarios y de afiliación. Talento humano y nómina comparan cada cambio con el documento aprobado. Se conservan el contrato, el otrosí o la certificación correspondiente.</w:t>
      </w:r>
    </w:p>
    <w:p w14:paraId="65B399CD" w14:textId="77777777" w:rsidR="00612C5F" w:rsidRDefault="00000000">
      <w:pPr>
        <w:pStyle w:val="Listaconvietas"/>
        <w:ind w:left="1134"/>
      </w:pPr>
      <w:r>
        <w:rPr>
          <w:b/>
        </w:rPr>
        <w:lastRenderedPageBreak/>
        <w:t>Generación de prenómina.</w:t>
      </w:r>
      <w:r>
        <w:t xml:space="preserve"> Se calculan preliminarmente los devengados, las deducciones y las bases. Nómina revisa los días, las fórmulas, los porcentajes y los conceptos. El resultado se conserva en el reporte de prenómina.</w:t>
      </w:r>
    </w:p>
    <w:p w14:paraId="3620304E" w14:textId="77777777" w:rsidR="00612C5F" w:rsidRDefault="00000000">
      <w:pPr>
        <w:pStyle w:val="Listaconvietas"/>
        <w:ind w:left="1134"/>
      </w:pPr>
      <w:r>
        <w:rPr>
          <w:b/>
        </w:rPr>
        <w:t>Revisión y aprobación.</w:t>
      </w:r>
      <w:r>
        <w:t xml:space="preserve"> Se analizan los resultados antes del cierre definitivo. Nómina, talento humano, contabilidad y el responsable autorizador comparan totales, variaciones y excepciones. La revisión queda respaldada mediante una lista de verificación.</w:t>
      </w:r>
    </w:p>
    <w:p w14:paraId="0BE9EA38" w14:textId="77777777" w:rsidR="00612C5F" w:rsidRDefault="00000000">
      <w:pPr>
        <w:pStyle w:val="Listaconvietas"/>
        <w:ind w:left="1134"/>
      </w:pPr>
      <w:r>
        <w:rPr>
          <w:b/>
        </w:rPr>
        <w:t>Pago y contabilización.</w:t>
      </w:r>
      <w:r>
        <w:t xml:space="preserve"> Se remiten los valores y se reconocen las obligaciones. Tesorería y contabilidad cotejan la nómina, el archivo bancario y los registros. Los comprobantes constituyen la evidencia del proceso.</w:t>
      </w:r>
    </w:p>
    <w:p w14:paraId="27CB1D91" w14:textId="77777777" w:rsidR="00612C5F" w:rsidRDefault="00000000">
      <w:pPr>
        <w:pStyle w:val="Listaconvietas"/>
        <w:ind w:left="1134"/>
      </w:pPr>
      <w:r>
        <w:rPr>
          <w:b/>
        </w:rPr>
        <w:t>Reporte y archivo.</w:t>
      </w:r>
      <w:r>
        <w:t xml:space="preserve"> Se generan los reportes y se conservan los soportes. Nómina, contabilidad y gestión documental verifican la transmisión, integridad y almacenamiento. Se conserva el expediente del periodo junto con los reportes correspondientes.</w:t>
      </w:r>
    </w:p>
    <w:p w14:paraId="363A187F" w14:textId="77777777" w:rsidR="00612C5F" w:rsidRDefault="00000000">
      <w:r>
        <w:t>La secuencia permite establecer controles antes y después del pago, así como conservar la trazabilidad de las actividades realizadas.</w:t>
      </w:r>
    </w:p>
    <w:p w14:paraId="6DCA8B4A" w14:textId="77777777" w:rsidR="00612C5F" w:rsidRDefault="00000000">
      <w:r>
        <w:t>Las políticas de nómina deben establecer las fuentes aceptadas, los responsables de registrar y aprobar la información, los tiempos de entrega, los controles y la forma de resolver las inconsistencias. Estas disposiciones internas pueden ordenar el procedimiento, pero no pueden desconocer los derechos mínimos e irrenunciables establecidos en la legislación laboral (Código Sustantivo del Trabajo, 1950, arts. 13 y 14).</w:t>
      </w:r>
    </w:p>
    <w:p w14:paraId="0E4E76D8" w14:textId="77777777" w:rsidR="00612C5F" w:rsidRDefault="00000000">
      <w:r>
        <w:t xml:space="preserve">La asignación de responsabilidades debe considerar el carácter reservado de la información. Los datos laborales, salariales, bancarios, familiares y de afiliación son </w:t>
      </w:r>
      <w:r>
        <w:lastRenderedPageBreak/>
        <w:t>datos personales y deben tratarse bajo los principios de finalidad, acceso restringido, seguridad y confidencialidad. Por ello, los usuarios del sistema deben contar únicamente con los permisos necesarios para desarrollar sus funciones.</w:t>
      </w:r>
    </w:p>
    <w:p w14:paraId="7331F1BD" w14:textId="77777777" w:rsidR="00612C5F" w:rsidRDefault="00000000">
      <w:r>
        <w:t>También es recomendable separar el registro, la revisión, la aprobación y el pago. Esta distribución permite que una modificación realizada por una persona sea revisada por otra antes de producir una salida definitiva. Se trata de un criterio pedagógico de control interno que disminuye el riesgo de errores, duplicidades, cambios sin autorización o pagos dirigidos a un beneficiario incorrecto.</w:t>
      </w:r>
    </w:p>
    <w:p w14:paraId="5E13E57B" w14:textId="77777777" w:rsidR="00612C5F" w:rsidRDefault="00000000">
      <w:pPr>
        <w:pStyle w:val="Ttulo5"/>
      </w:pPr>
      <w:r>
        <w:t>Ejemplo aplicado</w:t>
      </w:r>
    </w:p>
    <w:p w14:paraId="3C578968" w14:textId="77777777" w:rsidR="00612C5F" w:rsidRDefault="00000000">
      <w:r>
        <w:t>Una empresa liquida mensualmente y realiza el pago el último día hábil. El calendario dispone que las novedades se reciben hasta el día 24, la prenómina se genera el día 25 y la revisión se efectúa los días 26 y 27. Talento humano valida las novedades, nómina realiza los cálculos, contabilidad comprueba los registros y tesorería ejecuta el pago después de recibir la autorización.</w:t>
      </w:r>
    </w:p>
    <w:p w14:paraId="053F3FF0" w14:textId="77777777" w:rsidR="00612C5F" w:rsidRDefault="00000000">
      <w:r>
        <w:t>El día 26 se recibe una incapacidad iniciada antes de la fecha de cierre. Si la nómina todavía no ha sido aprobada, la empresa puede revisar el soporte e incorporarlo al cálculo. Si la nómina ya fue cerrada o reportada, debe determinar qué valores fueron afectados y aplicar el procedimiento de corrección correspondiente, manteniendo la relación entre el documento inicial y el ajuste.</w:t>
      </w:r>
    </w:p>
    <w:p w14:paraId="668495E7" w14:textId="77777777" w:rsidR="00612C5F" w:rsidRDefault="00000000">
      <w:r>
        <w:t>De esta forma, el ciclo organiza las actividades y establece puntos de control antes y después del pago. La definición de fechas, responsables y evidencias permite continuar con la revisión de los datos del trabajador, el contrato y el periodo que será liquidado.</w:t>
      </w:r>
    </w:p>
    <w:p w14:paraId="0777B635" w14:textId="77777777" w:rsidR="00612C5F" w:rsidRDefault="00000000">
      <w:pPr>
        <w:pStyle w:val="Ttulo2"/>
      </w:pPr>
      <w:bookmarkStart w:id="3" w:name="_Toc244277532"/>
      <w:r>
        <w:lastRenderedPageBreak/>
        <w:t>Datos del trabajador, contrato y periodo liquidado</w:t>
      </w:r>
      <w:bookmarkEnd w:id="3"/>
    </w:p>
    <w:p w14:paraId="1695C954" w14:textId="77777777" w:rsidR="00612C5F" w:rsidRDefault="00000000">
      <w:r>
        <w:t>Los datos maestros corresponden a la información utilizada para identificar al trabajador y aplicar las condiciones de la relación laboral. Comprenden, entre otros, el nombre, documento, cargo, modalidad contractual, lugar de trabajo, salario, periodicidad del pago, jornada, fecha de ingreso, cuenta bancaria y administradoras de seguridad social. Parte de esta información se encuentra en el contrato, el cual debe identificar a las partes y señalar las condiciones esenciales de la vinculación (Código Sustantivo del Trabajo, 1950, art. 39).</w:t>
      </w:r>
    </w:p>
    <w:p w14:paraId="0B59463A" w14:textId="77777777" w:rsidR="00612C5F" w:rsidRDefault="00000000">
      <w:r>
        <w:t>La organización debe conservar la vigencia histórica de los cambios. Cuando se modifica el salario, la jornada, el cargo, el centro de costo o la modalidad contractual, no es suficiente sustituir el dato anterior; es necesario registrar la fecha desde la cual comienza a aplicarse el cambio. Esta trazabilidad permite liquidar correctamente periodos anteriores, retroactivos, prestaciones y reportes.</w:t>
      </w:r>
    </w:p>
    <w:p w14:paraId="7AE7E713" w14:textId="77777777" w:rsidR="00612C5F" w:rsidRDefault="00000000">
      <w:r>
        <w:t>Los datos personales deben ser exactos, actualizados, comprobables y comprensibles. La Ley 1581 de 2012 establece que el tratamiento debe atender, entre otros, los principios de veracidad o calidad, seguridad y confidencialidad. En consecuencia, los cambios de identificación, dirección, cuenta bancaria o beneficiarios deben sustentarse, validarse y protegerse frente al acceso no autorizado.</w:t>
      </w:r>
    </w:p>
    <w:p w14:paraId="2D98B319" w14:textId="77777777" w:rsidR="00612C5F" w:rsidRDefault="00000000">
      <w:r>
        <w:t>El estado del contrato determina si el trabajador debe incluirse durante todo el periodo o solamente durante una parte. Deben revisarse las fechas de ingreso y retiro, las suspensiones, las licencias y las modificaciones contractuales, debido a que estas situaciones pueden afectar los días pagados y cotizados. La PILA contempla campos específicos para las fechas de ingreso, retiro, variación salarial, suspensión, incapacidad, licencia y vacaciones (Resolución 2388 de 2016).</w:t>
      </w:r>
    </w:p>
    <w:p w14:paraId="561B8ED6" w14:textId="77777777" w:rsidR="00612C5F" w:rsidRDefault="00000000">
      <w:r>
        <w:lastRenderedPageBreak/>
        <w:t xml:space="preserve">Los siguientes grupos de datos deben verificarse antes de generar la prenómina. Cada uno integra la información requerida, el soporte principal y su efecto en la liquidación: </w:t>
      </w:r>
    </w:p>
    <w:p w14:paraId="7A438FE4" w14:textId="77777777" w:rsidR="00612C5F" w:rsidRDefault="00000000">
      <w:pPr>
        <w:pStyle w:val="Listaconvietas"/>
        <w:ind w:left="1134"/>
      </w:pPr>
      <w:r>
        <w:rPr>
          <w:b/>
        </w:rPr>
        <w:t>Identificación.</w:t>
      </w:r>
      <w:r>
        <w:t xml:space="preserve"> Se verifican los nombres, apellidos, tipo y número de documento, con base en el documento de identidad. Esta información identifica al beneficiario del pago y evita registros duplicados.</w:t>
      </w:r>
    </w:p>
    <w:p w14:paraId="0CF40A1A" w14:textId="77777777" w:rsidR="00612C5F" w:rsidRDefault="00000000">
      <w:pPr>
        <w:pStyle w:val="Listaconvietas"/>
        <w:ind w:left="1134"/>
      </w:pPr>
      <w:r>
        <w:rPr>
          <w:b/>
        </w:rPr>
        <w:t>Vinculación.</w:t>
      </w:r>
      <w:r>
        <w:t xml:space="preserve"> Se revisan la modalidad contractual, la fecha de ingreso, la fecha de terminación y el estado del contrato. El soporte es el contrato, otrosí o comunicación autorizada. Estos datos determinan el periodo durante el cual debe liquidarse al trabajador.</w:t>
      </w:r>
    </w:p>
    <w:p w14:paraId="09344D0F" w14:textId="77777777" w:rsidR="00612C5F" w:rsidRDefault="00000000">
      <w:pPr>
        <w:pStyle w:val="Listaconvietas"/>
        <w:ind w:left="1134"/>
      </w:pPr>
      <w:r>
        <w:rPr>
          <w:b/>
        </w:rPr>
        <w:t>Remuneración.</w:t>
      </w:r>
      <w:r>
        <w:t xml:space="preserve"> Se comprueban el salario, la modalidad salarial, la periodicidad, las comisiones, las bonificaciones y los beneficios. El contrato, el otrosí y la política salarial sustentan esta información, que define los conceptos y las bases utilizadas en los cálculos.</w:t>
      </w:r>
    </w:p>
    <w:p w14:paraId="367CE21C" w14:textId="77777777" w:rsidR="00612C5F" w:rsidRDefault="00000000">
      <w:pPr>
        <w:pStyle w:val="Listaconvietas"/>
        <w:ind w:left="1134"/>
      </w:pPr>
      <w:r>
        <w:rPr>
          <w:b/>
        </w:rPr>
        <w:t>Jornada.</w:t>
      </w:r>
      <w:r>
        <w:t xml:space="preserve"> Se verifican el horario, las horas semanales, los turnos y la distribución de descansos, con base en el contrato, la programación de turnos y el reglamento. Esta información permite comprobar el tiempo ordinario y las horas adicionales.</w:t>
      </w:r>
    </w:p>
    <w:p w14:paraId="6FFB25B5" w14:textId="77777777" w:rsidR="00612C5F" w:rsidRDefault="00000000">
      <w:pPr>
        <w:pStyle w:val="Listaconvietas"/>
        <w:ind w:left="1134"/>
      </w:pPr>
      <w:r>
        <w:rPr>
          <w:b/>
        </w:rPr>
        <w:t>Cargo y ubicación.</w:t>
      </w:r>
      <w:r>
        <w:t xml:space="preserve"> Se revisan el cargo, el área, la sede, el proyecto y el centro de costo. La estructura organizacional y los registros internos sustentan estos datos, que facilitan la distribución y contabilización de los gastos.</w:t>
      </w:r>
    </w:p>
    <w:p w14:paraId="10E29348" w14:textId="77777777" w:rsidR="00612C5F" w:rsidRDefault="00000000">
      <w:pPr>
        <w:pStyle w:val="Listaconvietas"/>
        <w:ind w:left="1134"/>
      </w:pPr>
      <w:r>
        <w:rPr>
          <w:b/>
        </w:rPr>
        <w:t>Seguridad social.</w:t>
      </w:r>
      <w:r>
        <w:t xml:space="preserve"> Se identifican la EPS, la administradora de pensiones, la ARL y la caja de compensación, mediante certificados y formularios de afiliación. Esta información determina las entidades receptoras de los aportes.</w:t>
      </w:r>
    </w:p>
    <w:p w14:paraId="5F38F4D1" w14:textId="77777777" w:rsidR="00612C5F" w:rsidRDefault="00000000">
      <w:pPr>
        <w:pStyle w:val="Listaconvietas"/>
        <w:ind w:left="1134"/>
      </w:pPr>
      <w:r>
        <w:rPr>
          <w:b/>
        </w:rPr>
        <w:lastRenderedPageBreak/>
        <w:t>Información bancaria.</w:t>
      </w:r>
      <w:r>
        <w:t xml:space="preserve"> Se verifican la entidad financiera, el tipo y el número de cuenta, con base en la certificación bancaria. Estos datos determinan el destino del pago.</w:t>
      </w:r>
    </w:p>
    <w:p w14:paraId="2714D097" w14:textId="77777777" w:rsidR="00612C5F" w:rsidRDefault="00000000">
      <w:pPr>
        <w:pStyle w:val="Listaconvietas"/>
        <w:ind w:left="1134"/>
      </w:pPr>
      <w:r>
        <w:rPr>
          <w:b/>
        </w:rPr>
        <w:t>Información tributaria.</w:t>
      </w:r>
      <w:r>
        <w:t xml:space="preserve"> Se revisan los datos requeridos para la depuración de retenciones, sustentados en certificados y formatos tributarios. Esta información incide en el cálculo de la retención en la fuente.</w:t>
      </w:r>
    </w:p>
    <w:p w14:paraId="64930273" w14:textId="77777777" w:rsidR="00612C5F" w:rsidRDefault="00000000">
      <w:pPr>
        <w:pStyle w:val="Listaconvietas"/>
        <w:ind w:left="1134"/>
      </w:pPr>
      <w:r>
        <w:rPr>
          <w:b/>
        </w:rPr>
        <w:t>Deducciones.</w:t>
      </w:r>
      <w:r>
        <w:t xml:space="preserve"> Se comprueban las libranzas, los préstamos, los embargos y los descuentos autorizados. La autorización, orden judicial o documento válido sustenta los valores descontados al trabajador.</w:t>
      </w:r>
    </w:p>
    <w:p w14:paraId="76D1EE8F" w14:textId="77777777" w:rsidR="00612C5F" w:rsidRDefault="00000000">
      <w:pPr>
        <w:pStyle w:val="Listaconvietas"/>
        <w:ind w:left="1134"/>
      </w:pPr>
      <w:r>
        <w:rPr>
          <w:b/>
        </w:rPr>
        <w:t>Datos personales.</w:t>
      </w:r>
      <w:r>
        <w:t xml:space="preserve"> Se revisan la dirección, el contacto, los beneficiarios y los demás datos relacionados, mediante el formato de actualización. Esta información apoya los trámites laborales, prestacionales y administrativos.</w:t>
      </w:r>
    </w:p>
    <w:p w14:paraId="6EB9DCA8" w14:textId="77777777" w:rsidR="00612C5F" w:rsidRDefault="00000000">
      <w:r>
        <w:t>La revisión de estos datos permite establecer las condiciones que deben aplicarse en el periodo y conservar los soportes necesarios para los cálculos y reportes.</w:t>
      </w:r>
    </w:p>
    <w:p w14:paraId="6B530AD8" w14:textId="77777777" w:rsidR="00612C5F" w:rsidRDefault="00000000">
      <w:pPr>
        <w:pStyle w:val="Ttulo3"/>
      </w:pPr>
      <w:r>
        <w:t>Determinación del periodo liquidado</w:t>
      </w:r>
    </w:p>
    <w:p w14:paraId="6BD3FD5F" w14:textId="77777777" w:rsidR="00612C5F" w:rsidRDefault="00000000">
      <w:r>
        <w:t>El periodo liquidado debe identificarse mediante una fecha inicial y una fecha final. Además, se debe determinar si el trabajador estuvo activo durante todo el periodo o si presentó un ingreso, retiro, suspensión, licencia, incapacidad, vacaciones u otra novedad que afecte los días reconocidos. La PILA contempla campos específicos para reportar estas situaciones y relacionarlas con los días y las bases de cada subsistema (Resolución 2388 de 2016).</w:t>
      </w:r>
    </w:p>
    <w:p w14:paraId="3EAC1DEC" w14:textId="77777777" w:rsidR="00612C5F" w:rsidRDefault="00000000">
      <w:r>
        <w:t xml:space="preserve">Cuando el trabajador tiene pactado un salario mensual y presta sus servicios durante todo el periodo, recibe la remuneración mensual acordada, </w:t>
      </w:r>
      <w:r>
        <w:lastRenderedPageBreak/>
        <w:t>independientemente de que el mes calendario tenga veintiocho, veintinueve, treinta o treinta y un días. Para liquidar fracciones del salario mensual, la doctrina administrativa ha utilizado una base de treinta días, criterio que debe aplicarse de manera uniforme y sin desconocer los días realmente trabajados o las novedades presentadas.</w:t>
      </w:r>
    </w:p>
    <w:p w14:paraId="6C04BCAD" w14:textId="77777777" w:rsidR="00612C5F" w:rsidRDefault="00000000">
      <w:r>
        <w:t>La base de treinta días no significa que puedan omitirse las fechas reales de ingreso, retiro o novedad. Estas fechas deben conservarse porque determinan el momento desde el cual nace o termina el derecho al salario y permiten reportar correctamente los días cotizados en la seguridad social. Tampoco significa que todos los conceptos de nómina tengan la misma base, debido a que las incapacidades, licencias, vacaciones y prestaciones pueden tener reglas particulares.</w:t>
      </w:r>
    </w:p>
    <w:p w14:paraId="0CC71FCD" w14:textId="77777777" w:rsidR="00612C5F" w:rsidRDefault="00000000">
      <w:r>
        <w:t>El número de días reconocido en el salario puede ser diferente de los días informados en algunos subsistemas de la seguridad social, dependiendo de la naturaleza de la novedad. Por ello, no debe trasladarse automáticamente el mismo número a todos los campos sin revisar el tratamiento de la incapacidad, licencia, suspensión, vacaciones, ingreso o retiro.</w:t>
      </w:r>
    </w:p>
    <w:p w14:paraId="4E1BC520" w14:textId="77777777" w:rsidR="00612C5F" w:rsidRDefault="00000000">
      <w:pPr>
        <w:pStyle w:val="Ttulo5"/>
      </w:pPr>
      <w:r>
        <w:t>Ejemplo aplicado</w:t>
      </w:r>
    </w:p>
    <w:p w14:paraId="1A664BAC" w14:textId="77777777" w:rsidR="00612C5F" w:rsidRDefault="00000000">
      <w:r>
        <w:t>Una trabajadora ingresa el día 7 de un mes de treinta días y presenta una licencia no remunerada entre los días 18 y 20. Antes de efectuar el cálculo, se debe confirmar que la fecha de ingreso registrada coincida con el contrato, que la licencia haya sido autorizada, que el salario corresponda con el valor pactado y que las afiliaciones estén activas desde el inicio de la relación laboral.</w:t>
      </w:r>
    </w:p>
    <w:p w14:paraId="6171C04D" w14:textId="77777777" w:rsidR="00612C5F" w:rsidRDefault="00000000">
      <w:r>
        <w:t xml:space="preserve">La trabajadora estuvo vinculada durante veinticuatro días, contados desde el día 7 hasta el día 30. Al descontar preliminarmente los tres días de licencia no remunerada, </w:t>
      </w:r>
      <w:r>
        <w:lastRenderedPageBreak/>
        <w:t>se obtienen veintiún días con reconocimiento salarial. Sin embargo, el análisis no debe finalizar en este resultado, porque también es necesario determinar el efecto de la novedad sobre los aportes, las prestaciones, los auxilios y los reportes del periodo.</w:t>
      </w:r>
    </w:p>
    <w:p w14:paraId="63EB3A5D" w14:textId="77777777" w:rsidR="00612C5F" w:rsidRDefault="00000000">
      <w:r>
        <w:t>La revisión conjunta de los datos personales, el contrato, las fechas y las novedades permite establecer quién debe ser liquidado, durante cuántos días y bajo cuáles condiciones. Una vez depurada esta información, se pueden determinar las diferentes bases utilizadas para calcular salarios, prestaciones sociales, seguridad social, aportes parafiscales y demás obligaciones del periodo.</w:t>
      </w:r>
    </w:p>
    <w:p w14:paraId="522AED4E" w14:textId="77777777" w:rsidR="00612C5F" w:rsidRDefault="00000000">
      <w:r>
        <w:t xml:space="preserve">El siguiente control reúne las fechas, condiciones contractuales y novedades del caso, junto con las verificaciones necesarias antes de iniciar los cálculos: </w:t>
      </w:r>
    </w:p>
    <w:p w14:paraId="53DEBC46" w14:textId="77777777" w:rsidR="00612C5F" w:rsidRDefault="00000000">
      <w:pPr>
        <w:pStyle w:val="Listaconvietas"/>
        <w:ind w:left="1134"/>
      </w:pPr>
      <w:r>
        <w:rPr>
          <w:b/>
        </w:rPr>
        <w:t>Periodo de nómina.</w:t>
      </w:r>
      <w:r>
        <w:t xml:space="preserve"> Comprende del 1 al 30 de septiembre. Se debe confirmar que corresponde con el calendario definido por la organización.</w:t>
      </w:r>
    </w:p>
    <w:p w14:paraId="22E9BBB3" w14:textId="77777777" w:rsidR="00612C5F" w:rsidRDefault="00000000">
      <w:pPr>
        <w:pStyle w:val="Listaconvietas"/>
        <w:ind w:left="1134"/>
      </w:pPr>
      <w:r>
        <w:rPr>
          <w:b/>
        </w:rPr>
        <w:t>Fecha de ingreso.</w:t>
      </w:r>
      <w:r>
        <w:t xml:space="preserve"> La trabajadora ingresó el 7 de septiembre. La liquidación debe efectuarse desde la fecha efectiva de vinculación.</w:t>
      </w:r>
    </w:p>
    <w:p w14:paraId="7BD27593" w14:textId="77777777" w:rsidR="00612C5F" w:rsidRDefault="00000000">
      <w:pPr>
        <w:pStyle w:val="Listaconvietas"/>
        <w:ind w:left="1134"/>
      </w:pPr>
      <w:r>
        <w:rPr>
          <w:b/>
        </w:rPr>
        <w:t>Fecha de retiro.</w:t>
      </w:r>
      <w:r>
        <w:t xml:space="preserve"> No aplica, debido a que el contrato continúa activo. Se debe confirmar esta condición antes de liquidar el periodo.</w:t>
      </w:r>
    </w:p>
    <w:p w14:paraId="53F58768" w14:textId="77777777" w:rsidR="00612C5F" w:rsidRDefault="00000000">
      <w:pPr>
        <w:pStyle w:val="Listaconvietas"/>
        <w:ind w:left="1134"/>
      </w:pPr>
      <w:r>
        <w:rPr>
          <w:b/>
        </w:rPr>
        <w:t>Días comprendidos desde el ingreso.</w:t>
      </w:r>
      <w:r>
        <w:t xml:space="preserve"> Corresponden a 24 días, contados desde el día 7 hasta el día 30. Este cálculo permite establecer el tiempo comprendido desde la vinculación.</w:t>
      </w:r>
    </w:p>
    <w:p w14:paraId="0D587621" w14:textId="77777777" w:rsidR="00612C5F" w:rsidRDefault="00000000">
      <w:pPr>
        <w:pStyle w:val="Listaconvietas"/>
        <w:ind w:left="1134"/>
      </w:pPr>
      <w:r>
        <w:rPr>
          <w:b/>
        </w:rPr>
        <w:t>Licencia no remunerada.</w:t>
      </w:r>
      <w:r>
        <w:t xml:space="preserve"> Comprende del 18 al 20 de septiembre. Se deben verificar la autorización, las fechas y el tratamiento correspondiente a la novedad.</w:t>
      </w:r>
    </w:p>
    <w:p w14:paraId="15B87F32" w14:textId="77777777" w:rsidR="00612C5F" w:rsidRDefault="00000000">
      <w:pPr>
        <w:pStyle w:val="Listaconvietas"/>
        <w:ind w:left="1134"/>
      </w:pPr>
      <w:r>
        <w:rPr>
          <w:b/>
        </w:rPr>
        <w:t>Días preliminares con salario.</w:t>
      </w:r>
      <w:r>
        <w:t xml:space="preserve"> Corresponden a 21 días. Se obtienen al restar los tres días de licencia no remunerada a los días inicialmente reconocidos.</w:t>
      </w:r>
    </w:p>
    <w:p w14:paraId="61F46546" w14:textId="77777777" w:rsidR="00612C5F" w:rsidRDefault="00000000">
      <w:pPr>
        <w:pStyle w:val="Listaconvietas"/>
        <w:ind w:left="1134"/>
      </w:pPr>
      <w:r>
        <w:rPr>
          <w:b/>
        </w:rPr>
        <w:lastRenderedPageBreak/>
        <w:t>Salario vigente.</w:t>
      </w:r>
      <w:r>
        <w:t xml:space="preserve"> Corresponde al valor pactado desde el ingreso. Se debe cotejar con el contrato y con la información registrada en el sistema.</w:t>
      </w:r>
    </w:p>
    <w:p w14:paraId="77DE0C89" w14:textId="77777777" w:rsidR="00612C5F" w:rsidRDefault="00000000">
      <w:pPr>
        <w:pStyle w:val="Listaconvietas"/>
        <w:ind w:left="1134"/>
      </w:pPr>
      <w:r>
        <w:rPr>
          <w:b/>
        </w:rPr>
        <w:t>Jornada.</w:t>
      </w:r>
      <w:r>
        <w:t xml:space="preserve"> Corresponde a la jornada registrada en el contrato. Se debe comparar con la programación de horarios.</w:t>
      </w:r>
    </w:p>
    <w:p w14:paraId="1C93E95F" w14:textId="77777777" w:rsidR="00612C5F" w:rsidRDefault="00000000">
      <w:pPr>
        <w:pStyle w:val="Listaconvietas"/>
        <w:ind w:left="1134"/>
      </w:pPr>
      <w:r>
        <w:rPr>
          <w:b/>
        </w:rPr>
        <w:t>Afiliaciones.</w:t>
      </w:r>
      <w:r>
        <w:t xml:space="preserve"> Deben estar activas desde el ingreso. Se requiere verificar los soportes y la fecha de cobertura.</w:t>
      </w:r>
    </w:p>
    <w:p w14:paraId="716C8FE4" w14:textId="77777777" w:rsidR="00612C5F" w:rsidRDefault="00000000">
      <w:pPr>
        <w:pStyle w:val="Listaconvietas"/>
        <w:ind w:left="1134"/>
      </w:pPr>
      <w:r>
        <w:rPr>
          <w:b/>
        </w:rPr>
        <w:t>Cuenta bancaria.</w:t>
      </w:r>
      <w:r>
        <w:t xml:space="preserve"> Corresponde a la cuenta certificada por la trabajadora. Se deben confirmar la titularidad y el estado de la cuenta.</w:t>
      </w:r>
    </w:p>
    <w:p w14:paraId="6CD90860" w14:textId="77777777" w:rsidR="00612C5F" w:rsidRDefault="00000000">
      <w:r>
        <w:t>Este control permite consolidar la información necesaria para continuar con la determinación de las bases y los conceptos que integran la liquidación de nómina.</w:t>
      </w:r>
    </w:p>
    <w:p w14:paraId="5D23301A" w14:textId="77777777" w:rsidR="00612C5F" w:rsidRDefault="00000000">
      <w:pPr>
        <w:pStyle w:val="Ttulo2"/>
      </w:pPr>
      <w:bookmarkStart w:id="4" w:name="_Toc244277533"/>
      <w:r>
        <w:t>Bases de liquidación e ingreso base de cotización</w:t>
      </w:r>
      <w:bookmarkEnd w:id="4"/>
    </w:p>
    <w:p w14:paraId="29F93E92" w14:textId="77777777" w:rsidR="00612C5F" w:rsidRDefault="00000000">
      <w:r>
        <w:t>Una base de liquidación es el valor sobre el cual se aplica una fórmula, proporción o porcentaje para determinar un concepto. No existe una base única para toda la nómina: pueden presentarse diferencias entre la base salarial, la base prestacional, la base de vacaciones, el ingreso base de cotización, la base parafiscal y la base sometida a retención (Código Sustantivo del Trabajo, 1950; Ley 100 de 1993).</w:t>
      </w:r>
    </w:p>
    <w:p w14:paraId="59E23ACF" w14:textId="77777777" w:rsidR="00612C5F" w:rsidRDefault="00000000">
      <w:r>
        <w:t>El primer paso consiste en clasificar los pagos. Constituye salario no solo la remuneración ordinaria, fija o variable, sino todo lo recibido como contraprestación directa del servicio, cualquiera que sea su denominación. Por su parte, no constituyen salario las sumas que el trabajador recibe ocasionalmente y por mera liberalidad, ni aquellas destinadas a facilitar el cumplimiento de sus funciones sin enriquecer su patrimonio, junto con los demás conceptos expresamente excluidos por la ley (Código Sustantivo del Trabajo, 1950, arts. 127 y 128).</w:t>
      </w:r>
    </w:p>
    <w:p w14:paraId="56F6F3E2" w14:textId="77777777" w:rsidR="00612C5F" w:rsidRDefault="00000000">
      <w:r>
        <w:lastRenderedPageBreak/>
        <w:t>El ingreso base de cotización (IBC) es el valor utilizado para calcular los aportes al Sistema de Seguridad Social Integral. Para los trabajadores dependientes, la Ley 100 de 1993 establece que la base corresponde al salario mensual y, para los trabajadores particulares, remite a las reglas del Código Sustantivo del Trabajo (Ley 100 de 1993).</w:t>
      </w:r>
    </w:p>
    <w:p w14:paraId="5AF71964" w14:textId="77777777" w:rsidR="00612C5F" w:rsidRDefault="00000000">
      <w:r>
        <w:t>Los pagos no constitutivos de salario deben someterse al límite previsto para efectos de seguridad social. Cuando estos pagos superan el 40 % del total de la remuneración, la parte que excede el porcentaje debe incorporarse al ingreso base de cotización (Ley 1393 de 2010). Las principales bases utilizadas en la nómina se diferencian por su finalidad, los conceptos que pueden incluir y los controles necesarios para su aplicación:</w:t>
      </w:r>
    </w:p>
    <w:p w14:paraId="5495E792" w14:textId="77777777" w:rsidR="00612C5F" w:rsidRDefault="00000000">
      <w:pPr>
        <w:pStyle w:val="Listaconvietas"/>
        <w:ind w:left="1134"/>
      </w:pPr>
      <w:r>
        <w:rPr>
          <w:b/>
        </w:rPr>
        <w:t>Total devengado.</w:t>
      </w:r>
      <w:r>
        <w:t xml:space="preserve"> Identifica todos los valores reconocidos al trabajador, como salarios, auxilios, incapacidades, vacaciones y pagos no salariales. El control principal consiste en verificar que cada concepto tenga soporte.</w:t>
      </w:r>
    </w:p>
    <w:p w14:paraId="15E1A881" w14:textId="77777777" w:rsidR="00612C5F" w:rsidRDefault="00000000">
      <w:pPr>
        <w:pStyle w:val="Listaconvietas"/>
        <w:ind w:left="1134"/>
      </w:pPr>
      <w:r>
        <w:rPr>
          <w:b/>
        </w:rPr>
        <w:t>Base salarial.</w:t>
      </w:r>
      <w:r>
        <w:t xml:space="preserve"> Reúne los pagos que remuneran directamente el servicio, como salario, comisiones, horas extras, recargos y bonificaciones salariales. Para determinarla, debe analizarse la naturaleza real de cada pago.</w:t>
      </w:r>
    </w:p>
    <w:p w14:paraId="0D0A15E3" w14:textId="77777777" w:rsidR="00612C5F" w:rsidRDefault="00000000">
      <w:pPr>
        <w:pStyle w:val="Listaconvietas"/>
        <w:ind w:left="1134"/>
      </w:pPr>
      <w:r>
        <w:rPr>
          <w:b/>
        </w:rPr>
        <w:t>Base prestacional.</w:t>
      </w:r>
      <w:r>
        <w:t xml:space="preserve"> Se utiliza para calcular prima, cesantías e intereses, según corresponda. Puede incluir salarios y los factores que legalmente integren cada prestación, por lo que deben revisarse las inclusiones y exclusiones aplicables.</w:t>
      </w:r>
    </w:p>
    <w:p w14:paraId="56F661B5" w14:textId="77777777" w:rsidR="00612C5F" w:rsidRDefault="00000000">
      <w:pPr>
        <w:pStyle w:val="Listaconvietas"/>
        <w:ind w:left="1134"/>
      </w:pPr>
      <w:r>
        <w:rPr>
          <w:b/>
        </w:rPr>
        <w:t>Base de vacaciones.</w:t>
      </w:r>
      <w:r>
        <w:t xml:space="preserve"> Permite calcular el descanso remunerado o su compensación. Comprende el salario y los factores aplicables según la modalidad de remuneración. No debe utilizarse automáticamente la base prestacional.</w:t>
      </w:r>
    </w:p>
    <w:p w14:paraId="450F3817" w14:textId="77777777" w:rsidR="00612C5F" w:rsidRDefault="00000000">
      <w:pPr>
        <w:pStyle w:val="Listaconvietas"/>
        <w:ind w:left="1134"/>
      </w:pPr>
      <w:r>
        <w:rPr>
          <w:b/>
        </w:rPr>
        <w:lastRenderedPageBreak/>
        <w:t>Ingreso base de cotización.</w:t>
      </w:r>
      <w:r>
        <w:t xml:space="preserve"> Se utiliza para calcular los aportes a seguridad social. Puede incluir pagos salariales y el exceso de pagos no salariales cuando aplique. Deben verificarse las novedades, los días cotizados y el límite del 40 %.</w:t>
      </w:r>
    </w:p>
    <w:p w14:paraId="73E7B44D" w14:textId="77777777" w:rsidR="00612C5F" w:rsidRDefault="00000000">
      <w:pPr>
        <w:pStyle w:val="Listaconvietas"/>
        <w:ind w:left="1134"/>
      </w:pPr>
      <w:r>
        <w:rPr>
          <w:b/>
        </w:rPr>
        <w:t>Base parafiscal.</w:t>
      </w:r>
      <w:r>
        <w:t xml:space="preserve"> Se utiliza para calcular los aportes parafiscales cuando procedan. Comprende la nómina mensual de salarios y los demás conceptos legalmente incluidos. Deben revisarse la obligación, las exoneraciones y la naturaleza del pago.</w:t>
      </w:r>
    </w:p>
    <w:p w14:paraId="1AFCE809" w14:textId="77777777" w:rsidR="00612C5F" w:rsidRDefault="00000000">
      <w:pPr>
        <w:pStyle w:val="Listaconvietas"/>
        <w:ind w:left="1134"/>
      </w:pPr>
      <w:r>
        <w:rPr>
          <w:b/>
        </w:rPr>
        <w:t>Neto por pagar.</w:t>
      </w:r>
      <w:r>
        <w:t xml:space="preserve"> Determina el valor que recibe el trabajador después de restar las deducciones al total devengado. El resultado debe cotejarse con el comprobante y el archivo bancario.</w:t>
      </w:r>
    </w:p>
    <w:p w14:paraId="735E50B2" w14:textId="77777777" w:rsidR="00612C5F" w:rsidRDefault="00000000">
      <w:r>
        <w:t>La identificación de estas bases permite aplicar cada cálculo según su finalidad, sin trasladar automáticamente los mismos conceptos a todas las obligaciones.</w:t>
      </w:r>
    </w:p>
    <w:p w14:paraId="044ABC0C" w14:textId="77777777" w:rsidR="00612C5F" w:rsidRDefault="00000000">
      <w:pPr>
        <w:pStyle w:val="Ttulo3"/>
      </w:pPr>
      <w:r>
        <w:t>Aplicación del límite del 40 %</w:t>
      </w:r>
    </w:p>
    <w:p w14:paraId="421CC3BE" w14:textId="77777777" w:rsidR="00612C5F" w:rsidRDefault="00000000">
      <w:r>
        <w:t>Para aplicar el límite a los pagos no salariales, pueden utilizarse las siguientes operaciones:</w:t>
      </w:r>
    </w:p>
    <w:p w14:paraId="648E3061" w14:textId="77777777" w:rsidR="00612C5F" w:rsidRDefault="00000000">
      <w:pPr>
        <w:pStyle w:val="Listaconvietas"/>
        <w:ind w:left="1134"/>
      </w:pPr>
      <w:r>
        <w:t xml:space="preserve">Total de la remuneración = pagos salariales + pagos no salariales </w:t>
      </w:r>
    </w:p>
    <w:p w14:paraId="3DE2E9B5" w14:textId="77777777" w:rsidR="00612C5F" w:rsidRDefault="00000000">
      <w:pPr>
        <w:pStyle w:val="Listaconvietas"/>
        <w:ind w:left="1134"/>
      </w:pPr>
      <w:r>
        <w:t>Límite admitido = total de la remuneración × 40 %</w:t>
      </w:r>
    </w:p>
    <w:p w14:paraId="452C90E2" w14:textId="77777777" w:rsidR="00612C5F" w:rsidRDefault="00000000">
      <w:pPr>
        <w:pStyle w:val="Listaconvietas"/>
        <w:ind w:left="1134"/>
      </w:pPr>
      <w:r>
        <w:t>Exceso incorporado al IBC = pagos no salariales - límite admitido</w:t>
      </w:r>
    </w:p>
    <w:p w14:paraId="59BEF68E" w14:textId="77777777" w:rsidR="00612C5F" w:rsidRDefault="00000000">
      <w:r>
        <w:t>Estas fórmulas constituyen una representación pedagógica del artículo 30 de la Ley 1393 de 2010. El exceso se incorpora solamente cuando el resultado es positivo.</w:t>
      </w:r>
    </w:p>
    <w:p w14:paraId="0E05983B" w14:textId="77777777" w:rsidR="00612C5F" w:rsidRDefault="00000000">
      <w:pPr>
        <w:pStyle w:val="Ttulo5"/>
      </w:pPr>
      <w:r>
        <w:lastRenderedPageBreak/>
        <w:t>Ejemplo aplicado</w:t>
      </w:r>
    </w:p>
    <w:p w14:paraId="07ADBF77" w14:textId="77777777" w:rsidR="00612C5F" w:rsidRDefault="00000000">
      <w:r>
        <w:t>Un trabajador recibe durante el mes los siguientes pagos:</w:t>
      </w:r>
    </w:p>
    <w:p w14:paraId="2F96FC44" w14:textId="77777777" w:rsidR="00612C5F" w:rsidRDefault="00000000">
      <w:pPr>
        <w:pStyle w:val="Listaconvietas"/>
        <w:ind w:left="1134"/>
      </w:pPr>
      <w:r>
        <w:t>Salario básico: $3.000.000.</w:t>
      </w:r>
    </w:p>
    <w:p w14:paraId="4E5893D8" w14:textId="77777777" w:rsidR="00612C5F" w:rsidRDefault="00000000">
      <w:pPr>
        <w:pStyle w:val="Listaconvietas"/>
        <w:ind w:left="1134"/>
      </w:pPr>
      <w:r>
        <w:t>Comisión salarial: $400.000.</w:t>
      </w:r>
    </w:p>
    <w:p w14:paraId="372CA8D3" w14:textId="77777777" w:rsidR="00612C5F" w:rsidRDefault="00000000">
      <w:pPr>
        <w:pStyle w:val="Listaconvietas"/>
        <w:ind w:left="1134"/>
      </w:pPr>
      <w:r>
        <w:t>Bonificación no salarial: $2.600.000.</w:t>
      </w:r>
    </w:p>
    <w:p w14:paraId="47557AF2" w14:textId="77777777" w:rsidR="00612C5F" w:rsidRDefault="00000000">
      <w:r>
        <w:t>Con estos valores, se determina el total de la remuneración y se aplica el límite del 40 %:</w:t>
      </w:r>
    </w:p>
    <w:p w14:paraId="355A7D04" w14:textId="77777777" w:rsidR="00612C5F" w:rsidRDefault="00000000">
      <w:r>
        <w:t>Total de la remuneración</w:t>
      </w:r>
    </w:p>
    <w:p w14:paraId="6B7AD9E4" w14:textId="77777777" w:rsidR="00612C5F" w:rsidRDefault="00000000">
      <w:pPr>
        <w:pStyle w:val="Ttulo5"/>
      </w:pPr>
      <w:r>
        <w:t>$3.000.000 + $400.000 + $2.600.000 = $6.000.000</w:t>
      </w:r>
    </w:p>
    <w:p w14:paraId="6305FF0E" w14:textId="77777777" w:rsidR="00612C5F" w:rsidRDefault="00000000">
      <w:r>
        <w:t>Límite del 40 %</w:t>
      </w:r>
    </w:p>
    <w:p w14:paraId="7816A668" w14:textId="77777777" w:rsidR="00612C5F" w:rsidRDefault="00000000">
      <w:pPr>
        <w:pStyle w:val="Ttulo5"/>
      </w:pPr>
      <w:r>
        <w:t>$6.000.000 × 40 % = $2.400.000</w:t>
      </w:r>
    </w:p>
    <w:p w14:paraId="17FADA52" w14:textId="77777777" w:rsidR="00612C5F" w:rsidRDefault="00000000">
      <w:r>
        <w:t>Exceso del pago no salarial</w:t>
      </w:r>
    </w:p>
    <w:p w14:paraId="0D963D0E" w14:textId="77777777" w:rsidR="00612C5F" w:rsidRDefault="00000000">
      <w:pPr>
        <w:pStyle w:val="Ttulo5"/>
      </w:pPr>
      <w:r>
        <w:t>$2.600.000 - $2.400.000 = $200.000</w:t>
      </w:r>
    </w:p>
    <w:p w14:paraId="57B0FD94" w14:textId="77777777" w:rsidR="00612C5F" w:rsidRDefault="00000000">
      <w:r>
        <w:t>Ingreso base de cotización</w:t>
      </w:r>
    </w:p>
    <w:p w14:paraId="3BFCF926" w14:textId="77777777" w:rsidR="00612C5F" w:rsidRDefault="00000000">
      <w:pPr>
        <w:pStyle w:val="Ttulo5"/>
      </w:pPr>
      <w:r>
        <w:t>$3.000.000 + $400.000 + $200.000 = $3.600.000</w:t>
      </w:r>
    </w:p>
    <w:p w14:paraId="72EEED3C" w14:textId="77777777" w:rsidR="00612C5F" w:rsidRDefault="00000000">
      <w:r>
        <w:t>En síntesis, la determinación de las bases requiere clasificar correctamente cada pago, identificar la finalidad del cálculo y verificar los días y novedades del periodo. Esta revisión permite aplicar las fórmulas de nómina sin trasladar automáticamente una misma base a salarios, prestaciones, aportes y demás obligaciones.</w:t>
      </w:r>
    </w:p>
    <w:p w14:paraId="53100D1C" w14:textId="77777777" w:rsidR="00612C5F" w:rsidRDefault="00000000">
      <w:pPr>
        <w:pStyle w:val="Ttulo2"/>
      </w:pPr>
      <w:bookmarkStart w:id="5" w:name="_Toc244277534"/>
      <w:r>
        <w:lastRenderedPageBreak/>
        <w:t>Fórmulas, proporcionalidad y aproximación de valores</w:t>
      </w:r>
      <w:bookmarkEnd w:id="5"/>
    </w:p>
    <w:p w14:paraId="29D3BDD2" w14:textId="77777777" w:rsidR="00612C5F" w:rsidRDefault="00000000">
      <w:r>
        <w:t>Las fórmulas de nómina permiten convertir los datos contractuales y las novedades del periodo en valores de nómina. Antes de realizar cada operación, se deben identificar el concepto, la base, los días u horas reconocidos, el porcentaje aplicable y la vigencia del salario. Un cálculo puede ser matemáticamente correcto, pero resultar improcedente si utiliza una base o una novedad equivocada.</w:t>
      </w:r>
    </w:p>
    <w:p w14:paraId="3B25E22D" w14:textId="77777777" w:rsidR="00612C5F" w:rsidRDefault="00000000">
      <w:r>
        <w:t>La proporcionalidad se aplica cuando el trabajador no tiene derecho al valor completo del periodo por ingreso, retiro, suspensión, licencia u otra novedad. Para efectos de nómina, el salario mensual se distribuye sobre una base de treinta días y los pagos parciales se reconocen de acuerdo con el tiempo efectivamente laborado (Concepto 144581 de 2022).</w:t>
      </w:r>
    </w:p>
    <w:p w14:paraId="3762BDBA" w14:textId="77777777" w:rsidR="00612C5F" w:rsidRDefault="00000000">
      <w:r>
        <w:t>Las operaciones básicas pueden expresarse de la siguiente manera:</w:t>
      </w:r>
    </w:p>
    <w:p w14:paraId="680B97B9" w14:textId="7C0B1DFD" w:rsidR="00612C5F" w:rsidRDefault="00000000">
      <w:r>
        <w:t xml:space="preserve">Salario diario </w:t>
      </w:r>
      <w:proofErr w:type="gramStart"/>
      <w:r>
        <w:t>=</w:t>
      </w:r>
      <w:r w:rsidR="00BE06C7">
        <w:t xml:space="preserve">  </w:t>
      </w:r>
      <w:r>
        <w:t>salario</w:t>
      </w:r>
      <w:proofErr w:type="gramEnd"/>
      <w:r>
        <w:t xml:space="preserve"> mensual</w:t>
      </w:r>
      <w:r w:rsidR="00BE06C7">
        <w:t xml:space="preserve"> /30</w:t>
      </w:r>
    </w:p>
    <w:p w14:paraId="1FC875C4" w14:textId="77777777" w:rsidR="00612C5F" w:rsidRDefault="00000000">
      <w:pPr>
        <w:pStyle w:val="Listaconvietas"/>
        <w:ind w:left="1134"/>
      </w:pPr>
      <w:r>
        <w:t>Valor proporcional = salario diario × días reconocidos</w:t>
      </w:r>
    </w:p>
    <w:p w14:paraId="685AA6B5" w14:textId="77777777" w:rsidR="00612C5F" w:rsidRDefault="00000000">
      <w:pPr>
        <w:pStyle w:val="Listaconvietas"/>
        <w:ind w:left="1134"/>
      </w:pPr>
      <w:r>
        <w:t>Valor porcentual = base de liquidación × porcentaje aplicable</w:t>
      </w:r>
    </w:p>
    <w:p w14:paraId="78BA6B08" w14:textId="77777777" w:rsidR="00612C5F" w:rsidRDefault="00000000">
      <w:pPr>
        <w:pStyle w:val="Listaconvietas"/>
        <w:ind w:left="1134"/>
      </w:pPr>
      <w:r>
        <w:t>Total devengado = suma de los conceptos reconocidos</w:t>
      </w:r>
    </w:p>
    <w:p w14:paraId="22A906B9" w14:textId="77777777" w:rsidR="00612C5F" w:rsidRDefault="00000000">
      <w:pPr>
        <w:pStyle w:val="Listaconvietas"/>
        <w:ind w:left="1134"/>
      </w:pPr>
      <w:r>
        <w:t>Total deducido = suma de las deducciones aplicadas</w:t>
      </w:r>
    </w:p>
    <w:p w14:paraId="4973A193" w14:textId="77777777" w:rsidR="00612C5F" w:rsidRDefault="00000000">
      <w:pPr>
        <w:pStyle w:val="Listaconvietas"/>
        <w:ind w:left="1134"/>
      </w:pPr>
      <w:r>
        <w:t>Neto por pagar = total devengado - total deducido</w:t>
      </w:r>
    </w:p>
    <w:p w14:paraId="740A7158" w14:textId="77777777" w:rsidR="00612C5F" w:rsidRDefault="00000000">
      <w:r>
        <w:t>Estas fórmulas son expresiones pedagógicas. Antes de utilizarlas, se debe comprobar que la base, los días y el porcentaje correspondan al concepto que se está liquidando.</w:t>
      </w:r>
    </w:p>
    <w:p w14:paraId="4FAB4137" w14:textId="77777777" w:rsidR="00612C5F" w:rsidRDefault="00000000">
      <w:r>
        <w:t xml:space="preserve">La jornada máxima ordinaria general es de 42 horas semanales, distribuibles de común acuerdo entre cinco o seis días, con garantía del día de descanso. Por esta razón, </w:t>
      </w:r>
      <w:r>
        <w:lastRenderedPageBreak/>
        <w:t>los sistemas y hojas de cálculo deben mantener actualizado el parámetro utilizado para determinar el valor de la hora ordinaria y no conservar automáticamente divisores correspondientes a jornadas anteriores (Ley 2101 de 2021).</w:t>
      </w:r>
    </w:p>
    <w:p w14:paraId="77F1CBBF" w14:textId="77777777" w:rsidR="00612C5F" w:rsidRDefault="00000000">
      <w:r>
        <w:t xml:space="preserve">Los siguientes controles permiten comprobar los elementos de cada fórmula antes de aceptar el resultado de la liquidación: </w:t>
      </w:r>
    </w:p>
    <w:p w14:paraId="12224664" w14:textId="77777777" w:rsidR="00612C5F" w:rsidRDefault="00000000">
      <w:pPr>
        <w:pStyle w:val="Listaconvietas"/>
        <w:ind w:left="1134"/>
      </w:pPr>
      <w:r>
        <w:rPr>
          <w:b/>
        </w:rPr>
        <w:t>Base.</w:t>
      </w:r>
      <w:r>
        <w:t xml:space="preserve"> Se debe confirmar que el valor corresponde al concepto liquidado. Este control previene el uso de una base salarial, prestacional o de cotización incorrecta.</w:t>
      </w:r>
    </w:p>
    <w:p w14:paraId="47F3224D" w14:textId="77777777" w:rsidR="00612C5F" w:rsidRDefault="00000000">
      <w:pPr>
        <w:pStyle w:val="Listaconvietas"/>
        <w:ind w:left="1134"/>
      </w:pPr>
      <w:r>
        <w:rPr>
          <w:b/>
        </w:rPr>
        <w:t>Periodo.</w:t>
      </w:r>
      <w:r>
        <w:t xml:space="preserve"> Se debe establecer si se liquida un periodo completo o parcial. Esta verificación evita reconocer días que no corresponden.</w:t>
      </w:r>
    </w:p>
    <w:p w14:paraId="5577B1BF" w14:textId="77777777" w:rsidR="00612C5F" w:rsidRDefault="00000000">
      <w:pPr>
        <w:pStyle w:val="Listaconvietas"/>
        <w:ind w:left="1134"/>
      </w:pPr>
      <w:r>
        <w:rPr>
          <w:b/>
        </w:rPr>
        <w:t>Días.</w:t>
      </w:r>
      <w:r>
        <w:t xml:space="preserve"> Se deben comparar los días con las fechas de ingreso, retiro y novedades. El control permite prevenir pagos en exceso o valores que queden sin reconocer.</w:t>
      </w:r>
    </w:p>
    <w:p w14:paraId="6BEADB0E" w14:textId="77777777" w:rsidR="00612C5F" w:rsidRDefault="00000000">
      <w:pPr>
        <w:pStyle w:val="Listaconvietas"/>
        <w:ind w:left="1134"/>
      </w:pPr>
      <w:r>
        <w:rPr>
          <w:b/>
        </w:rPr>
        <w:t>Horas.</w:t>
      </w:r>
      <w:r>
        <w:t xml:space="preserve"> Se debe revisar la jornada legal o contractual vigente. Esta comprobación evita calcular incorrectamente el valor de la hora.</w:t>
      </w:r>
    </w:p>
    <w:p w14:paraId="2BE28CCB" w14:textId="77777777" w:rsidR="00612C5F" w:rsidRDefault="00000000">
      <w:pPr>
        <w:pStyle w:val="Listaconvietas"/>
        <w:ind w:left="1134"/>
      </w:pPr>
      <w:r>
        <w:rPr>
          <w:b/>
        </w:rPr>
        <w:t>Porcentaje.</w:t>
      </w:r>
      <w:r>
        <w:t xml:space="preserve"> Se debe verificar la tarifa aplicable al concepto y al periodo. Así se previene la aplicación de recargos, aportes o descuentos equivocados.</w:t>
      </w:r>
    </w:p>
    <w:p w14:paraId="2D400005" w14:textId="77777777" w:rsidR="00612C5F" w:rsidRDefault="00000000">
      <w:pPr>
        <w:pStyle w:val="Listaconvietas"/>
        <w:ind w:left="1134"/>
      </w:pPr>
      <w:r>
        <w:rPr>
          <w:b/>
        </w:rPr>
        <w:t>Vigencia.</w:t>
      </w:r>
      <w:r>
        <w:t xml:space="preserve"> Se deben confirmar el salario y las condiciones aplicables en cada fecha. El control evita utilizar valores anteriores o posteriores a su vigencia.</w:t>
      </w:r>
    </w:p>
    <w:p w14:paraId="0B4D831B" w14:textId="77777777" w:rsidR="00612C5F" w:rsidRDefault="00000000">
      <w:pPr>
        <w:pStyle w:val="Listaconvietas"/>
        <w:ind w:left="1134"/>
      </w:pPr>
      <w:r>
        <w:rPr>
          <w:b/>
        </w:rPr>
        <w:t>Decimales.</w:t>
      </w:r>
      <w:r>
        <w:t xml:space="preserve"> Se debe conservar la precisión durante las operaciones intermedias. Esto disminuye las diferencias acumuladas por redondeo.</w:t>
      </w:r>
    </w:p>
    <w:p w14:paraId="37AB5AA2" w14:textId="77777777" w:rsidR="00612C5F" w:rsidRDefault="00000000">
      <w:pPr>
        <w:pStyle w:val="Listaconvietas"/>
        <w:ind w:left="1134"/>
      </w:pPr>
      <w:r>
        <w:rPr>
          <w:b/>
        </w:rPr>
        <w:t>Resultado.</w:t>
      </w:r>
      <w:r>
        <w:t xml:space="preserve"> Se debe comparar el valor con los soportes y el periodo anterior. Esta revisión permite identificar resultados atípicos antes de aprobarlos.</w:t>
      </w:r>
    </w:p>
    <w:p w14:paraId="43C0B8B1" w14:textId="77777777" w:rsidR="00612C5F" w:rsidRDefault="00000000">
      <w:r>
        <w:lastRenderedPageBreak/>
        <w:t>La aplicación conjunta de estos controles permite identificar inconsistencias en los datos y parámetros antes de generar los valores definitivos.</w:t>
      </w:r>
    </w:p>
    <w:p w14:paraId="537A2ED9" w14:textId="77777777" w:rsidR="00612C5F" w:rsidRDefault="00000000">
      <w:pPr>
        <w:pStyle w:val="Ttulo5"/>
      </w:pPr>
      <w:r>
        <w:t>Ejemplo aplicado</w:t>
      </w:r>
    </w:p>
    <w:p w14:paraId="11641ECA" w14:textId="77777777" w:rsidR="00612C5F" w:rsidRDefault="00000000">
      <w:r>
        <w:t>Un trabajador recibe un salario mensual de $2.400.000 y termina su contrato el día 18 del periodo. Para determinar el salario proporcional, se realiza el siguiente cálculo:</w:t>
      </w:r>
    </w:p>
    <w:p w14:paraId="48FDEAB2" w14:textId="77777777" w:rsidR="00612C5F" w:rsidRDefault="00000000">
      <w:r>
        <w:t>Salario diario</w:t>
      </w:r>
    </w:p>
    <w:p w14:paraId="50219B29" w14:textId="77777777" w:rsidR="00612C5F" w:rsidRDefault="00000000">
      <w:pPr>
        <w:pStyle w:val="Ttulo5"/>
      </w:pPr>
      <w:r>
        <w:t>$2.400.000 ÷ 30 = $80.000</w:t>
      </w:r>
    </w:p>
    <w:p w14:paraId="344A4E56" w14:textId="77777777" w:rsidR="00612C5F" w:rsidRDefault="00000000">
      <w:r>
        <w:t>Salario por 18 días</w:t>
      </w:r>
    </w:p>
    <w:p w14:paraId="21ABF5F0" w14:textId="77777777" w:rsidR="00612C5F" w:rsidRDefault="00000000">
      <w:pPr>
        <w:pStyle w:val="Ttulo5"/>
      </w:pPr>
      <w:r>
        <w:t>$80.000 × 18 = $1.440.000</w:t>
      </w:r>
    </w:p>
    <w:p w14:paraId="5D06B09B" w14:textId="77777777" w:rsidR="00612C5F" w:rsidRDefault="00000000">
      <w:r>
        <w:t>El resultado corresponde únicamente al salario básico proporcional. Si el trabajador presenta comisiones, horas adicionales, deducciones u otras novedades, cada concepto debe calcularse por separado y adicionarse o descontarse según corresponda.</w:t>
      </w:r>
    </w:p>
    <w:p w14:paraId="64B221E4" w14:textId="77777777" w:rsidR="00612C5F" w:rsidRDefault="00000000">
      <w:r>
        <w:t>La aproximación de valores debe aplicarse mediante un criterio uniforme. Como procedimiento técnico, es recomendable conservar los decimales durante las operaciones intermedias y aproximar los valores en la etapa definida por el sistema o por el reporte. Esto disminuye las diferencias entre la nómina individual, los totales, la contabilidad y los archivos de pago.</w:t>
      </w:r>
    </w:p>
    <w:p w14:paraId="20CB2423" w14:textId="77777777" w:rsidR="00612C5F" w:rsidRDefault="00000000">
      <w:r>
        <w:t>En síntesis, la aplicación de fórmulas exige comprobar las bases, los periodos, las jornadas y los porcentajes antes de aceptar el resultado. Estos controles permiten generar valores consistentes para la revisión de la prenómina.</w:t>
      </w:r>
    </w:p>
    <w:p w14:paraId="2C36134E" w14:textId="77777777" w:rsidR="00612C5F" w:rsidRDefault="00000000">
      <w:pPr>
        <w:pStyle w:val="Ttulo2"/>
      </w:pPr>
      <w:bookmarkStart w:id="6" w:name="_Toc244277535"/>
      <w:r>
        <w:lastRenderedPageBreak/>
        <w:t>Depuración y revisión de la prenómina</w:t>
      </w:r>
      <w:bookmarkEnd w:id="6"/>
    </w:p>
    <w:p w14:paraId="318F60D8" w14:textId="77777777" w:rsidR="00612C5F" w:rsidRDefault="00000000">
      <w:r>
        <w:t>La prenómina es el resultado preliminar de la liquidación y permite revisar los trabajadores incluidos, los días reconocidos, los devengados, las deducciones, las bases de cotización y el valor neto antes de aprobar el pago. Aunque no existe un formato único obligatorio, su revisión ayuda a comprobar que la información coincida con los datos contractuales, las novedades y los soportes del periodo (Resolución 2388 de 2016; DIAN, 2025).</w:t>
      </w:r>
    </w:p>
    <w:p w14:paraId="6482F936" w14:textId="77777777" w:rsidR="00612C5F" w:rsidRDefault="00000000">
      <w:r>
        <w:t>La depuración debe comenzar verificando que todos los trabajadores que corresponden al periodo estén incluidos y que las fechas de ingreso, retiro, suspensión, incapacidad, licencia, vacaciones y variación salarial se encuentren correctamente registradas. Estas novedades pueden modificar los días liquidados, los pagos y los ingresos base de cotización reportados mediante la PILA (Resolución 2388 de 2016).</w:t>
      </w:r>
    </w:p>
    <w:p w14:paraId="0F9F760B" w14:textId="77777777" w:rsidR="00612C5F" w:rsidRDefault="00000000">
      <w:r>
        <w:t xml:space="preserve">Posteriormente, se deben comparar los valores de cada trabajador con sus soportes y con el periodo anterior. Las variaciones pueden estar justificadas por horas adicionales, comisiones, incapacidades, vacaciones, cambios salariales o deducciones; cuando no existe una causa identificable, el resultado debe revisarse antes de aprobarse. </w:t>
      </w:r>
    </w:p>
    <w:p w14:paraId="73804D46" w14:textId="77777777" w:rsidR="00612C5F" w:rsidRDefault="00000000">
      <w:r>
        <w:t xml:space="preserve"> Los siguientes controles permiten identificar inconsistencias y determinar las acciones necesarias antes de generar la nómina definitiva: </w:t>
      </w:r>
    </w:p>
    <w:p w14:paraId="1C2168FF" w14:textId="77777777" w:rsidR="00612C5F" w:rsidRDefault="00000000">
      <w:pPr>
        <w:pStyle w:val="Listaconvietas"/>
        <w:ind w:left="1134"/>
      </w:pPr>
      <w:r>
        <w:rPr>
          <w:b/>
        </w:rPr>
        <w:t>Trabajadores incluidos.</w:t>
      </w:r>
      <w:r>
        <w:t xml:space="preserve"> Se deben comparar los trabajadores activos, los ingresos y los retiros. Si se identifica un trabajador omitido o un retirado incluido, es necesario revisar el estado y las fechas del contrato.</w:t>
      </w:r>
    </w:p>
    <w:p w14:paraId="48C5CE23" w14:textId="77777777" w:rsidR="00612C5F" w:rsidRDefault="00000000">
      <w:pPr>
        <w:pStyle w:val="Listaconvietas"/>
        <w:ind w:left="1134"/>
      </w:pPr>
      <w:r>
        <w:rPr>
          <w:b/>
        </w:rPr>
        <w:lastRenderedPageBreak/>
        <w:t>Días liquidados.</w:t>
      </w:r>
      <w:r>
        <w:t xml:space="preserve"> Se deben cotejar los días reconocidos con las novedades del periodo. Cuando exista un número mayor o menor de días, se deben verificar los ingresos, retiros, licencias y ausencias.</w:t>
      </w:r>
    </w:p>
    <w:p w14:paraId="6781E3D6" w14:textId="77777777" w:rsidR="00612C5F" w:rsidRDefault="00000000">
      <w:pPr>
        <w:pStyle w:val="Listaconvietas"/>
        <w:ind w:left="1134"/>
      </w:pPr>
      <w:r>
        <w:rPr>
          <w:b/>
        </w:rPr>
        <w:t>Salario.</w:t>
      </w:r>
      <w:r>
        <w:t xml:space="preserve"> Se debe comparar el valor registrado con el contrato y sus modificaciones. Si el salario está desactualizado, es necesario confirmar su vigencia y corregir el registro.</w:t>
      </w:r>
    </w:p>
    <w:p w14:paraId="7D0E81BF" w14:textId="77777777" w:rsidR="00612C5F" w:rsidRDefault="00000000">
      <w:pPr>
        <w:pStyle w:val="Listaconvietas"/>
        <w:ind w:left="1134"/>
      </w:pPr>
      <w:r>
        <w:rPr>
          <w:b/>
        </w:rPr>
        <w:t>Devengados variables.</w:t>
      </w:r>
      <w:r>
        <w:t xml:space="preserve"> Se deben revisar las horas, los recargos, las comisiones y las bonificaciones. Ante un pago duplicado o sin soporte, se debe cotejar el concepto con la autorización correspondiente.</w:t>
      </w:r>
    </w:p>
    <w:p w14:paraId="30948A01" w14:textId="77777777" w:rsidR="00612C5F" w:rsidRDefault="00000000">
      <w:pPr>
        <w:pStyle w:val="Listaconvietas"/>
        <w:ind w:left="1134"/>
      </w:pPr>
      <w:r>
        <w:rPr>
          <w:b/>
        </w:rPr>
        <w:t>Deducciones.</w:t>
      </w:r>
      <w:r>
        <w:t xml:space="preserve"> Se deben verificar la orden, la autorización y el saldo de cada descuento. Si se identifica una deducción no autorizada o repetida, corresponde suspender o corregir el valor.</w:t>
      </w:r>
    </w:p>
    <w:p w14:paraId="4D7F0787" w14:textId="77777777" w:rsidR="00612C5F" w:rsidRDefault="00000000">
      <w:pPr>
        <w:pStyle w:val="Listaconvietas"/>
        <w:ind w:left="1134"/>
      </w:pPr>
      <w:r>
        <w:rPr>
          <w:b/>
        </w:rPr>
        <w:t>Ingreso base de cotización.</w:t>
      </w:r>
      <w:r>
        <w:t xml:space="preserve"> Se debe comparar la base con los pagos y las novedades. Cuando resulte inferior o superior sin justificación, es necesario reclasificar los conceptos y recalcular.</w:t>
      </w:r>
    </w:p>
    <w:p w14:paraId="1D50A49B" w14:textId="77777777" w:rsidR="00612C5F" w:rsidRDefault="00000000">
      <w:pPr>
        <w:pStyle w:val="Listaconvietas"/>
        <w:ind w:left="1134"/>
      </w:pPr>
      <w:r>
        <w:rPr>
          <w:b/>
        </w:rPr>
        <w:t>Neto por pagar.</w:t>
      </w:r>
      <w:r>
        <w:t xml:space="preserve"> Se deben identificar valores negativos, nulos o atípicos. Si las deducciones superan el devengado, corresponde revisar los conceptos aplicados.</w:t>
      </w:r>
    </w:p>
    <w:p w14:paraId="39C78AA0" w14:textId="77777777" w:rsidR="00612C5F" w:rsidRDefault="00000000">
      <w:pPr>
        <w:pStyle w:val="Listaconvietas"/>
        <w:ind w:left="1134"/>
      </w:pPr>
      <w:r>
        <w:rPr>
          <w:b/>
        </w:rPr>
        <w:t>Cuenta bancaria.</w:t>
      </w:r>
      <w:r>
        <w:t xml:space="preserve"> Se deben confirmar la titularidad y los cambios recientes. Ante el riesgo de un pago rechazado o dirigido a otra cuenta, es necesario validar la certificación bancaria.</w:t>
      </w:r>
    </w:p>
    <w:p w14:paraId="371DFE6F" w14:textId="77777777" w:rsidR="00612C5F" w:rsidRDefault="00000000">
      <w:pPr>
        <w:pStyle w:val="Listaconvietas"/>
        <w:ind w:left="1134"/>
      </w:pPr>
      <w:r>
        <w:rPr>
          <w:b/>
        </w:rPr>
        <w:t>Variación entre periodos.</w:t>
      </w:r>
      <w:r>
        <w:t xml:space="preserve"> Se deben comparar los valores individuales y totales. Cuando exista un cambio elevado sin una novedad que lo justifique, es necesario identificar y documentar la causa.</w:t>
      </w:r>
    </w:p>
    <w:p w14:paraId="14B6A7CB" w14:textId="77777777" w:rsidR="00612C5F" w:rsidRDefault="00000000">
      <w:pPr>
        <w:pStyle w:val="Listaconvietas"/>
        <w:ind w:left="1134"/>
      </w:pPr>
      <w:r>
        <w:rPr>
          <w:b/>
        </w:rPr>
        <w:lastRenderedPageBreak/>
        <w:t>Totales.</w:t>
      </w:r>
      <w:r>
        <w:t xml:space="preserve"> Se deben comprobar el devengado, las deducciones y el neto. Si existen diferencias entre reportes, corresponde conciliar y corregir los resultados.</w:t>
      </w:r>
    </w:p>
    <w:p w14:paraId="3E4FC474" w14:textId="77777777" w:rsidR="00612C5F" w:rsidRDefault="00000000">
      <w:r>
        <w:t>Estos controles permiten relacionar cada diferencia con su causa y aplicar la corrección correspondiente antes de aprobar el pago.</w:t>
      </w:r>
    </w:p>
    <w:p w14:paraId="15306857" w14:textId="77777777" w:rsidR="00612C5F" w:rsidRDefault="00000000">
      <w:r>
        <w:t>Los cambios de cuenta bancaria y los demás datos personales deben validarse mediante soportes y canales seguros. La información de nómina está sometida a los principios de seguridad y confidencialidad, por lo que deben aplicarse medidas para evitar su pérdida, modificación, consulta o utilización no autorizada.</w:t>
      </w:r>
    </w:p>
    <w:p w14:paraId="7D1F8F0B" w14:textId="77777777" w:rsidR="00612C5F" w:rsidRDefault="00000000">
      <w:pPr>
        <w:pStyle w:val="Ttulo5"/>
      </w:pPr>
      <w:r>
        <w:t>Ejemplo aplicado</w:t>
      </w:r>
    </w:p>
    <w:p w14:paraId="3EBF971A" w14:textId="77777777" w:rsidR="00612C5F" w:rsidRDefault="00000000">
      <w:r>
        <w:t>Al revisar la prenómina, una empresa identifica que un trabajador activo no aparece en el reporte, una comisión fue incluida en el devengado, pero no en el IBC, y una cuota de préstamo se registró dos veces. Antes de aprobar la nómina, debe revisar el estado del trabajador, establecer la naturaleza salarial de la comisión y comparar la deducción con la autorización y el saldo pendiente.</w:t>
      </w:r>
    </w:p>
    <w:p w14:paraId="57148EE5" w14:textId="77777777" w:rsidR="00612C5F" w:rsidRDefault="00000000">
      <w:r>
        <w:t>Las correcciones deben conservar el dato inicial, la causa de la diferencia, el valor ajustado, la fecha, el responsable y el soporte correspondiente. Cuando la información ya fue transmitida, también debe analizarse si procede corregir la PILA o generar una nota de ajuste del documento soporte de pago de nómina electrónica (DIAN, 2025).</w:t>
      </w:r>
    </w:p>
    <w:p w14:paraId="7A91B5CE" w14:textId="518A6C71" w:rsidR="00612C5F" w:rsidRDefault="00000000">
      <w:r>
        <w:t>En conclusión, la revisión de la prenómina permite detectar errores antes del pago y comprobar la coherencia entre trabajadores, novedades, bases, deducciones y valores netos. Su aprobación proporciona información depurada para generar la nómina definitiva, los comprobantes y los reportes correspondientes.</w:t>
      </w:r>
      <w:r>
        <w:br w:type="page"/>
      </w:r>
    </w:p>
    <w:p w14:paraId="42F8A835" w14:textId="77777777" w:rsidR="00612C5F" w:rsidRDefault="00000000">
      <w:pPr>
        <w:pStyle w:val="Ttulo1"/>
      </w:pPr>
      <w:bookmarkStart w:id="7" w:name="_Toc244277536"/>
      <w:r>
        <w:lastRenderedPageBreak/>
        <w:t>Liquidación de devengados y novedades</w:t>
      </w:r>
      <w:bookmarkEnd w:id="7"/>
    </w:p>
    <w:p w14:paraId="5859C335" w14:textId="77777777" w:rsidR="00612C5F" w:rsidRDefault="00000000">
      <w:r>
        <w:t>La liquidación de devengados consiste en determinar los valores que el trabajador tiene derecho a recibir durante un periodo, de acuerdo con el salario pactado, el tiempo laborado y las novedades presentadas. Estos valores pueden comprender salario básico, comisiones, bonificaciones salariales, horas extras, recargos, auxilios, incapacidades, licencias, vacaciones y prestaciones sociales, según corresponda. El Código Sustantivo del Trabajo establece que constituye salario toda remuneración fija o variable recibida como contraprestación directa del servicio (Ley 50 de 1990).</w:t>
      </w:r>
    </w:p>
    <w:p w14:paraId="06A2ACD0" w14:textId="77777777" w:rsidR="00612C5F" w:rsidRDefault="00000000">
      <w:r>
        <w:t>Cada concepto debe liquidarse de forma independiente, utilizando la base, los días, las horas y los porcentajes aplicables. También se debe verificar la vigencia de la novedad, su soporte y su efecto sobre el ingreso base de cotización, las prestaciones sociales y el valor neto pagado. Esta separación facilita revisar la prenómina y relacionar posteriormente los devengados con las deducciones, los aportes y los reportes del periodo (Código Sustantivo del Trabajo, 1950).</w:t>
      </w:r>
    </w:p>
    <w:p w14:paraId="29CC51E6" w14:textId="77777777" w:rsidR="00612C5F" w:rsidRDefault="00000000">
      <w:pPr>
        <w:pStyle w:val="Ttulo2"/>
      </w:pPr>
      <w:bookmarkStart w:id="8" w:name="_Toc244277537"/>
      <w:r>
        <w:t>Salario y remuneración variable</w:t>
      </w:r>
      <w:bookmarkEnd w:id="8"/>
    </w:p>
    <w:p w14:paraId="1E6EB016" w14:textId="77777777" w:rsidR="00612C5F" w:rsidRDefault="00000000">
      <w:r>
        <w:t>El salario es la remuneración que recibe el trabajador como contraprestación directa del servicio. Puede pactarse por unidad de tiempo, por obra, a destajo, por tarea o mediante otras modalidades, siempre que se respete el salario mínimo legal o el establecido en pactos, convenciones colectivas o fallos arbitrales (Ley 50 de 1990).</w:t>
      </w:r>
    </w:p>
    <w:p w14:paraId="1765F311" w14:textId="77777777" w:rsidR="00612C5F" w:rsidRDefault="00000000">
      <w:r>
        <w:t xml:space="preserve">El salario puede ser fijo o variable. Es fijo cuando el trabajador recibe periódicamente un valor previamente determinado. Es variable cuando su valor depende de resultados o hechos que pueden cambiar entre periodos, como las ventas </w:t>
      </w:r>
      <w:r>
        <w:lastRenderedPageBreak/>
        <w:t>realizadas, las unidades producidas, las metas alcanzadas, las comisiones o los porcentajes acordados.</w:t>
      </w:r>
    </w:p>
    <w:p w14:paraId="3D2A9A0F" w14:textId="77777777" w:rsidR="00612C5F" w:rsidRDefault="00000000">
      <w:r>
        <w:t>Las comisiones, los porcentajes sobre ventas, las bonificaciones habituales y los demás pagos que remuneran directamente el servicio forman parte del salario, independientemente del nombre utilizado por la organización. Estos valores deben incluirse en la nómina y analizarse para determinar su efecto sobre las prestaciones sociales, la seguridad social y los demás cálculos laborales.</w:t>
      </w:r>
    </w:p>
    <w:p w14:paraId="266504D9" w14:textId="77777777" w:rsidR="00612C5F" w:rsidRDefault="00000000">
      <w:r>
        <w:t xml:space="preserve">No constituyen salario las sumas ocasionales entregadas por mera liberalidad ni los valores proporcionados para facilitar el cumplimiento de las funciones, como gastos de representación, medios de transporte o elementos de trabajo. Sin embargo, la exclusión no procede cuando el pago remunera realmente el servicio, aunque haya sido denominado como auxilio o bonificación no salarial. Los siguientes conceptos permiten diferenciar las modalidades de remuneración y los controles requeridos para su liquidación: </w:t>
      </w:r>
    </w:p>
    <w:p w14:paraId="0C77B2AE" w14:textId="77777777" w:rsidR="00612C5F" w:rsidRDefault="00000000">
      <w:pPr>
        <w:pStyle w:val="Listaconvietas"/>
        <w:ind w:left="1134"/>
      </w:pPr>
      <w:r>
        <w:rPr>
          <w:b/>
        </w:rPr>
        <w:t>Salario básico mensual.</w:t>
      </w:r>
      <w:r>
        <w:t xml:space="preserve"> Es una remuneración fija determinada por el valor pactado para el periodo. Se deben verificar el contrato, la vigencia del salario y los días liquidados.</w:t>
      </w:r>
    </w:p>
    <w:p w14:paraId="670E7960" w14:textId="77777777" w:rsidR="00612C5F" w:rsidRDefault="00000000">
      <w:pPr>
        <w:pStyle w:val="Listaconvietas"/>
        <w:ind w:left="1134"/>
      </w:pPr>
      <w:r>
        <w:rPr>
          <w:b/>
        </w:rPr>
        <w:t>Jornal.</w:t>
      </w:r>
      <w:r>
        <w:t xml:space="preserve"> Es una remuneración fija que se determina mediante el valor diario por los días reconocidos. Se deben comprobar los días trabajados y las novedades del periodo.</w:t>
      </w:r>
    </w:p>
    <w:p w14:paraId="3153529C" w14:textId="77777777" w:rsidR="00612C5F" w:rsidRDefault="00000000">
      <w:pPr>
        <w:pStyle w:val="Listaconvietas"/>
        <w:ind w:left="1134"/>
      </w:pPr>
      <w:r>
        <w:rPr>
          <w:b/>
        </w:rPr>
        <w:t>Salario por unidad de obra.</w:t>
      </w:r>
      <w:r>
        <w:t xml:space="preserve"> Es una remuneración variable calculada a partir de las unidades terminadas y el valor unitario acordado. Se deben validar las cantidades y su aprobación.</w:t>
      </w:r>
    </w:p>
    <w:p w14:paraId="6494F260" w14:textId="77777777" w:rsidR="00612C5F" w:rsidRDefault="00000000">
      <w:pPr>
        <w:pStyle w:val="Listaconvietas"/>
        <w:ind w:left="1134"/>
      </w:pPr>
      <w:r>
        <w:rPr>
          <w:b/>
        </w:rPr>
        <w:lastRenderedPageBreak/>
        <w:t>Salario a destajo.</w:t>
      </w:r>
      <w:r>
        <w:t xml:space="preserve"> Es una remuneración variable determinada por el resultado producido y la tarifa acordada. Se deben revisar la producción y las condiciones pactadas.</w:t>
      </w:r>
    </w:p>
    <w:p w14:paraId="4123468F" w14:textId="77777777" w:rsidR="00612C5F" w:rsidRDefault="00000000">
      <w:pPr>
        <w:pStyle w:val="Listaconvietas"/>
        <w:ind w:left="1134"/>
      </w:pPr>
      <w:r>
        <w:rPr>
          <w:b/>
        </w:rPr>
        <w:t>Comisión.</w:t>
      </w:r>
      <w:r>
        <w:t xml:space="preserve"> Es una remuneración variable calculada sobre una base de ventas o recaudos y un porcentaje acordado. Se deben confirmar los resultados, la tarifa y la fecha de causación.</w:t>
      </w:r>
    </w:p>
    <w:p w14:paraId="0156B531" w14:textId="77777777" w:rsidR="00612C5F" w:rsidRDefault="00000000">
      <w:pPr>
        <w:pStyle w:val="Listaconvietas"/>
        <w:ind w:left="1134"/>
      </w:pPr>
      <w:r>
        <w:rPr>
          <w:b/>
        </w:rPr>
        <w:t>Porcentaje sobre ventas.</w:t>
      </w:r>
      <w:r>
        <w:t xml:space="preserve"> Es una remuneración variable determinada por las ventas reconocidas y el porcentaje pactado. Se deben verificar las devoluciones, anulaciones y los soportes correspondientes.</w:t>
      </w:r>
    </w:p>
    <w:p w14:paraId="7671D916" w14:textId="77777777" w:rsidR="00612C5F" w:rsidRDefault="00000000">
      <w:pPr>
        <w:pStyle w:val="Listaconvietas"/>
        <w:ind w:left="1134"/>
      </w:pPr>
      <w:r>
        <w:rPr>
          <w:b/>
        </w:rPr>
        <w:t>Bonificación salarial.</w:t>
      </w:r>
      <w:r>
        <w:t xml:space="preserve"> Puede ser fija o variable y se determina mediante un valor o una fórmula relacionada con el servicio. Se deben establecer su naturaleza salarial y las condiciones de causación.</w:t>
      </w:r>
    </w:p>
    <w:p w14:paraId="08A21B5B" w14:textId="77777777" w:rsidR="00612C5F" w:rsidRDefault="00000000">
      <w:pPr>
        <w:pStyle w:val="Listaconvietas"/>
        <w:ind w:left="1134"/>
      </w:pPr>
      <w:r>
        <w:rPr>
          <w:b/>
        </w:rPr>
        <w:t>Bonificación no salarial.</w:t>
      </w:r>
      <w:r>
        <w:t xml:space="preserve"> Es un pago ocasional o extralegal acordado sin remunerar directamente el servicio. Se deben verificar el acuerdo, la finalidad y el tratamiento legal aplicable.</w:t>
      </w:r>
    </w:p>
    <w:p w14:paraId="4E002289" w14:textId="77777777" w:rsidR="00612C5F" w:rsidRDefault="00000000">
      <w:r>
        <w:t>La clasificación debe atender a la naturaleza real del pago y a las condiciones pactadas, de acuerdo con los artículos 127, 128 y 132 del Código Sustantivo del Trabajo.</w:t>
      </w:r>
    </w:p>
    <w:p w14:paraId="7639CF9D" w14:textId="77777777" w:rsidR="00612C5F" w:rsidRDefault="00000000">
      <w:pPr>
        <w:pStyle w:val="Ttulo3"/>
      </w:pPr>
      <w:r>
        <w:t>Cálculo de la remuneración variable</w:t>
      </w:r>
    </w:p>
    <w:p w14:paraId="22DE9ED1" w14:textId="77777777" w:rsidR="00612C5F" w:rsidRDefault="00000000">
      <w:r>
        <w:t>El valor variable debe calcularse con base en una fórmula previamente definida y conocida por el trabajador. Para ello, se deben comprobar el resultado alcanzado, el porcentaje o tarifa acordada, el periodo de causación y las condiciones establecidas para su reconocimiento.</w:t>
      </w:r>
    </w:p>
    <w:p w14:paraId="517F773D" w14:textId="77777777" w:rsidR="00612C5F" w:rsidRDefault="00000000">
      <w:pPr>
        <w:pStyle w:val="Listaconvietas"/>
        <w:ind w:left="1134"/>
      </w:pPr>
      <w:r>
        <w:t>Comisión = base reconocida × porcentaje acordado</w:t>
      </w:r>
    </w:p>
    <w:p w14:paraId="220E4BA9" w14:textId="77777777" w:rsidR="00612C5F" w:rsidRDefault="00000000">
      <w:pPr>
        <w:pStyle w:val="Listaconvietas"/>
        <w:ind w:left="1134"/>
      </w:pPr>
      <w:r>
        <w:lastRenderedPageBreak/>
        <w:t>Remuneración del periodo = salario fijo + remuneración variable</w:t>
      </w:r>
    </w:p>
    <w:p w14:paraId="19794679" w14:textId="77777777" w:rsidR="00612C5F" w:rsidRDefault="00000000">
      <w:pPr>
        <w:pStyle w:val="Ttulo5"/>
      </w:pPr>
      <w:r>
        <w:t>Ejemplo aplicado</w:t>
      </w:r>
    </w:p>
    <w:p w14:paraId="5C914CA6" w14:textId="77777777" w:rsidR="00612C5F" w:rsidRDefault="00000000">
      <w:r>
        <w:t>Una trabajadora recibe un salario básico mensual de $2.200.000 y una comisión equivalente al 3 % de las ventas reconocidas. Durante el periodo obtuvo ventas por $18.000.000.</w:t>
      </w:r>
    </w:p>
    <w:p w14:paraId="4D365B17" w14:textId="77777777" w:rsidR="00612C5F" w:rsidRDefault="00000000">
      <w:r>
        <w:t>Comisión</w:t>
      </w:r>
    </w:p>
    <w:p w14:paraId="39515294" w14:textId="77777777" w:rsidR="00612C5F" w:rsidRDefault="00000000">
      <w:pPr>
        <w:pStyle w:val="Ttulo5"/>
      </w:pPr>
      <w:r>
        <w:t>$18.000.000 × 3 % = $540.000</w:t>
      </w:r>
    </w:p>
    <w:p w14:paraId="7FD9CDB4" w14:textId="77777777" w:rsidR="00612C5F" w:rsidRDefault="00000000">
      <w:r>
        <w:t>Remuneración salarial del periodo</w:t>
      </w:r>
    </w:p>
    <w:p w14:paraId="61B57FB4" w14:textId="77777777" w:rsidR="00612C5F" w:rsidRDefault="00000000">
      <w:pPr>
        <w:pStyle w:val="Ttulo5"/>
      </w:pPr>
      <w:r>
        <w:t>$2.200.000 + $540.000 = $2.740.000</w:t>
      </w:r>
    </w:p>
    <w:p w14:paraId="0AF10C69" w14:textId="77777777" w:rsidR="00612C5F" w:rsidRDefault="00000000">
      <w:r>
        <w:t>La comisión de $540.000 forma parte del salario porque corresponde a una contraprestación directa por los resultados obtenidos. Por tanto, debe incluirse en las bases laborales y de seguridad social que correspondan.</w:t>
      </w:r>
    </w:p>
    <w:p w14:paraId="5C75E0D3" w14:textId="77777777" w:rsidR="00612C5F" w:rsidRDefault="00000000">
      <w:r>
        <w:t>Antes de aprobar el valor, se deben cotejar las ventas con los registros comerciales, comprobar el porcentaje pactado y verificar si existen devoluciones o anulaciones que modifiquen la base. De esta manera, la remuneración fija y variable queda sustentada y preparada para integrar los demás devengados del periodo.</w:t>
      </w:r>
    </w:p>
    <w:p w14:paraId="313EDFD6" w14:textId="77777777" w:rsidR="00612C5F" w:rsidRDefault="00000000">
      <w:pPr>
        <w:pStyle w:val="Ttulo2"/>
      </w:pPr>
      <w:bookmarkStart w:id="9" w:name="_Toc244277538"/>
      <w:r>
        <w:t>Horas extras, trabajo nocturno y días de descanso</w:t>
      </w:r>
      <w:bookmarkEnd w:id="9"/>
    </w:p>
    <w:p w14:paraId="541DDEC5" w14:textId="77777777" w:rsidR="00612C5F" w:rsidRDefault="00000000">
      <w:r>
        <w:t>La jornada ordinaria corresponde al tiempo acordado entre el empleador y el trabajador, sin superar la jornada máxima legal. La duración máxima general es de 42 horas semanales, distribuibles de común acuerdo en cinco o seis días, con garantía del día de descanso. El tiempo que exceda la jornada ordinaria constituye trabajo suplementario o de horas extras (Ley 2101 de 2021; Ley 2466 de 2025).</w:t>
      </w:r>
    </w:p>
    <w:p w14:paraId="18F81717" w14:textId="77777777" w:rsidR="00612C5F" w:rsidRDefault="00000000">
      <w:r>
        <w:lastRenderedPageBreak/>
        <w:t>El trabajo diurno se realiza entre las 6:00 a. m. y las 7:00 p. m., mientras que el trabajo nocturno comprende el periodo entre las 7:00 p. m. y las 6:00 a. m. del día siguiente. Cuando las horas nocturnas forman parte de la jornada ordinaria, se reconoce un recargo del 35 % sobre el valor de la hora ordinaria diurna (Código Sustantivo del Trabajo, 1950, arts. 160–168; Ley 2466 de 2025).</w:t>
      </w:r>
    </w:p>
    <w:p w14:paraId="009A99F0" w14:textId="77777777" w:rsidR="00612C5F" w:rsidRDefault="00000000">
      <w:r>
        <w:t>La hora extra diurna se remunera con un recargo del 25 %, mientras que la hora extra nocturna tiene un recargo del 75 % sobre el valor de la hora ordinaria diurna. El trabajo suplementario no puede exceder dos horas diarias ni doce horas semanales, salvo las excepciones establecidas para los sectores de seguridad y salud (Ley 50 de 1990; Ley 2466 de 2025).</w:t>
      </w:r>
    </w:p>
    <w:p w14:paraId="461031BA" w14:textId="77777777" w:rsidR="00612C5F" w:rsidRDefault="00000000">
      <w:r>
        <w:t>Los siguientes porcentajes permiten diferenciar los principales recargos y el factor total aplicable sobre el valor de la hora ordinaria diurna:</w:t>
      </w:r>
    </w:p>
    <w:p w14:paraId="7650867C" w14:textId="77777777" w:rsidR="00612C5F" w:rsidRDefault="00000000">
      <w:pPr>
        <w:pStyle w:val="Listaconvietas"/>
        <w:ind w:left="1134"/>
      </w:pPr>
      <w:r>
        <w:rPr>
          <w:b/>
        </w:rPr>
        <w:t>Hora ordinaria diurna.</w:t>
      </w:r>
      <w:r>
        <w:t xml:space="preserve"> Se realiza dentro de la jornada, entre las 6:00 a. m. y las 7:00 p. m. No tiene recargo adicional (0 %) y su factor total es 1,00.</w:t>
      </w:r>
    </w:p>
    <w:p w14:paraId="0A442728" w14:textId="77777777" w:rsidR="00612C5F" w:rsidRDefault="00000000">
      <w:pPr>
        <w:pStyle w:val="Listaconvietas"/>
        <w:ind w:left="1134"/>
      </w:pPr>
      <w:r>
        <w:rPr>
          <w:b/>
        </w:rPr>
        <w:t>Hora ordinaria nocturna.</w:t>
      </w:r>
      <w:r>
        <w:t xml:space="preserve"> Se realiza dentro de la jornada, entre las 7:00 p. m. y las 6:00 a. m. Tiene un recargo del 35 % y su factor total es 1,35.</w:t>
      </w:r>
    </w:p>
    <w:p w14:paraId="739ED06B" w14:textId="77777777" w:rsidR="00612C5F" w:rsidRDefault="00000000">
      <w:pPr>
        <w:pStyle w:val="Listaconvietas"/>
        <w:ind w:left="1134"/>
      </w:pPr>
      <w:r>
        <w:rPr>
          <w:b/>
        </w:rPr>
        <w:t>Hora extra diurna.</w:t>
      </w:r>
      <w:r>
        <w:t xml:space="preserve"> Excede la jornada ordinaria y se realiza en horario diurno. Tiene un recargo del 25 % y su factor total es 1,25.</w:t>
      </w:r>
    </w:p>
    <w:p w14:paraId="2EAE7D20" w14:textId="77777777" w:rsidR="00612C5F" w:rsidRDefault="00000000">
      <w:pPr>
        <w:pStyle w:val="Listaconvietas"/>
        <w:ind w:left="1134"/>
      </w:pPr>
      <w:r>
        <w:rPr>
          <w:b/>
        </w:rPr>
        <w:t>Hora extra nocturna.</w:t>
      </w:r>
      <w:r>
        <w:t xml:space="preserve"> Excede la jornada ordinaria y se realiza en horario nocturno. Tiene un recargo del 75 % y su factor total es 1,75.</w:t>
      </w:r>
    </w:p>
    <w:p w14:paraId="77030FF6" w14:textId="77777777" w:rsidR="00612C5F" w:rsidRDefault="00000000">
      <w:pPr>
        <w:pStyle w:val="Listaconvietas"/>
        <w:ind w:left="1134"/>
      </w:pPr>
      <w:r>
        <w:rPr>
          <w:b/>
        </w:rPr>
        <w:t>Hora en día de descanso obligatorio o festivo.</w:t>
      </w:r>
      <w:r>
        <w:t xml:space="preserve"> Se realiza durante el día de descanso o de fiesta. Desde el 1 de julio de 2026, el recargo es del 90 % y el factor total es 1,90.</w:t>
      </w:r>
    </w:p>
    <w:p w14:paraId="4B883A51" w14:textId="77777777" w:rsidR="00612C5F" w:rsidRDefault="00000000">
      <w:r>
        <w:lastRenderedPageBreak/>
        <w:t>El recargo por trabajo en día de descanso obligatorio o festivo aumentará al 100 % desde el 1 de julio de 2027. El empleador puede aplicar anticipadamente el 100 % (Ley 2466 de 2025).</w:t>
      </w:r>
    </w:p>
    <w:p w14:paraId="44320945" w14:textId="77777777" w:rsidR="00612C5F" w:rsidRDefault="00000000">
      <w:pPr>
        <w:pStyle w:val="Ttulo3"/>
      </w:pPr>
      <w:r>
        <w:t>Cálculo de los recargos</w:t>
      </w:r>
    </w:p>
    <w:p w14:paraId="4E9A7FB8" w14:textId="77777777" w:rsidR="00612C5F" w:rsidRDefault="00000000">
      <w:r>
        <w:t>Un trabajador tiene un valor de hora ordinaria de $12.000 y labora las siguientes horas. Los cálculos permiten diferenciar el valor del recargo y el valor total de cada hora.</w:t>
      </w:r>
    </w:p>
    <w:p w14:paraId="1822A604" w14:textId="77777777" w:rsidR="00612C5F" w:rsidRDefault="00000000" w:rsidP="00BE06C7">
      <w:pPr>
        <w:pStyle w:val="Ttulo4"/>
      </w:pPr>
      <w:r>
        <w:t>Hora ordinaria nocturna</w:t>
      </w:r>
    </w:p>
    <w:p w14:paraId="044797B6" w14:textId="77777777" w:rsidR="00612C5F" w:rsidRPr="00BE06C7" w:rsidRDefault="00000000" w:rsidP="00BE06C7">
      <w:r w:rsidRPr="00BE06C7">
        <w:t>$12.000 × 35 % = $4.200 de recargo</w:t>
      </w:r>
    </w:p>
    <w:p w14:paraId="4993D3B2" w14:textId="77777777" w:rsidR="00612C5F" w:rsidRPr="00BE06C7" w:rsidRDefault="00000000" w:rsidP="00BE06C7">
      <w:r w:rsidRPr="00BE06C7">
        <w:t>$12.000 + $4.200 = $16.200</w:t>
      </w:r>
    </w:p>
    <w:p w14:paraId="472D1E71" w14:textId="77777777" w:rsidR="00612C5F" w:rsidRDefault="00000000" w:rsidP="00BE06C7">
      <w:pPr>
        <w:pStyle w:val="Ttulo4"/>
      </w:pPr>
      <w:r>
        <w:t>Hora extra diurna</w:t>
      </w:r>
    </w:p>
    <w:p w14:paraId="28F5B988" w14:textId="77777777" w:rsidR="00612C5F" w:rsidRDefault="00000000" w:rsidP="00BE06C7">
      <w:r>
        <w:t>$12.000 × 25 % = $3.000 de recargo</w:t>
      </w:r>
    </w:p>
    <w:p w14:paraId="75DB6022" w14:textId="77777777" w:rsidR="00612C5F" w:rsidRDefault="00000000" w:rsidP="00BE06C7">
      <w:r>
        <w:t>$12.000 + $3.000 = $15.000</w:t>
      </w:r>
    </w:p>
    <w:p w14:paraId="7C03EE5C" w14:textId="77777777" w:rsidR="00612C5F" w:rsidRDefault="00000000" w:rsidP="00BE06C7">
      <w:pPr>
        <w:pStyle w:val="Ttulo4"/>
      </w:pPr>
      <w:r>
        <w:t>Hora extra nocturna</w:t>
      </w:r>
    </w:p>
    <w:p w14:paraId="3DDC42EC" w14:textId="77777777" w:rsidR="00612C5F" w:rsidRPr="00BE06C7" w:rsidRDefault="00000000" w:rsidP="00BE06C7">
      <w:r w:rsidRPr="00BE06C7">
        <w:t>$12.000 × 75 % = $9.000 de recargo</w:t>
      </w:r>
    </w:p>
    <w:p w14:paraId="4600292E" w14:textId="77777777" w:rsidR="00612C5F" w:rsidRPr="00BE06C7" w:rsidRDefault="00000000" w:rsidP="00BE06C7">
      <w:r w:rsidRPr="00BE06C7">
        <w:t>$12.000 + $9.000 = $21.000</w:t>
      </w:r>
    </w:p>
    <w:p w14:paraId="0F38B490" w14:textId="77777777" w:rsidR="00612C5F" w:rsidRDefault="00000000" w:rsidP="00BE06C7">
      <w:pPr>
        <w:pStyle w:val="Ttulo4"/>
      </w:pPr>
      <w:r>
        <w:t>Hora trabajada en día de descanso obligatorio</w:t>
      </w:r>
    </w:p>
    <w:p w14:paraId="0D73AC8A" w14:textId="77777777" w:rsidR="00612C5F" w:rsidRDefault="00000000" w:rsidP="00BE06C7">
      <w:r>
        <w:t>$12.000 × 90 % = $10.800 de recargo</w:t>
      </w:r>
    </w:p>
    <w:p w14:paraId="29AEF4C3" w14:textId="77777777" w:rsidR="00612C5F" w:rsidRDefault="00000000" w:rsidP="00BE06C7">
      <w:r>
        <w:t>$12.000 + $10.800 = $22.800</w:t>
      </w:r>
    </w:p>
    <w:p w14:paraId="37F0B362" w14:textId="77777777" w:rsidR="00612C5F" w:rsidRDefault="00000000">
      <w:r>
        <w:t xml:space="preserve">El trabajo en día de descanso obligatorio es ocasional cuando se laboran hasta dos de estos días durante el mes calendario y habitual cuando se laboran tres o más. En </w:t>
      </w:r>
      <w:r>
        <w:lastRenderedPageBreak/>
        <w:t>el trabajo habitual, el trabajador tiene derecho al pago correspondiente y a un descanso compensatorio remunerado; en el trabajo ocasional, puede elegir entre el descanso compensatorio o la retribución en dinero (Código Sustantivo del Trabajo, 1950; Ley 2466 de 2025).</w:t>
      </w:r>
    </w:p>
    <w:p w14:paraId="281E8893" w14:textId="77777777" w:rsidR="00612C5F" w:rsidRDefault="00000000">
      <w:r>
        <w:t>Antes de aprobar la liquidación, se deben cotejar las horas con los registros de asistencia, los turnos programados y la autorización correspondiente. El pago de las horas extras y del recargo nocturno debe realizarse con el salario del periodo en que se causaron o, a más tardar, con el salario del periodo siguiente.</w:t>
      </w:r>
    </w:p>
    <w:p w14:paraId="366A3E4E" w14:textId="77777777" w:rsidR="00612C5F" w:rsidRDefault="00000000">
      <w:pPr>
        <w:pStyle w:val="Ttulo2"/>
      </w:pPr>
      <w:bookmarkStart w:id="10" w:name="_Toc244277539"/>
      <w:r>
        <w:t>Incapacidades, licencias, ausencias y suspensiones</w:t>
      </w:r>
      <w:bookmarkEnd w:id="10"/>
    </w:p>
    <w:p w14:paraId="24E4F414" w14:textId="77777777" w:rsidR="00612C5F" w:rsidRDefault="00000000">
      <w:r>
        <w:t>A continuación, se presenta un video que explica el tratamiento de las incapacidades, licencias, ausencias y suspensiones en la nómina, así como sus principales efectos sobre el reconocimiento económico, los aportes al Sistema de Seguridad Social y las prestaciones sociales.</w:t>
      </w:r>
    </w:p>
    <w:p w14:paraId="7E747083" w14:textId="77777777" w:rsidR="00612C5F" w:rsidRDefault="00000000">
      <w:pPr>
        <w:pStyle w:val="Video"/>
        <w:jc w:val="left"/>
      </w:pPr>
      <w:r>
        <w:t>Incapacidades, licencias, ausencias y suspensiones en la nómina</w:t>
      </w:r>
    </w:p>
    <w:p w14:paraId="540D5C35" w14:textId="77777777" w:rsidR="00612C5F" w:rsidRDefault="00000000">
      <w:pPr>
        <w:ind w:firstLine="0"/>
        <w:jc w:val="center"/>
      </w:pPr>
      <w:r>
        <w:rPr>
          <w:noProof/>
        </w:rPr>
        <w:drawing>
          <wp:inline distT="0" distB="0" distL="0" distR="0" wp14:anchorId="7482CFDF" wp14:editId="596D92C0">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1F973898" w14:textId="77777777" w:rsidR="00612C5F"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12C5F" w14:paraId="77A3CC87" w14:textId="77777777">
        <w:trPr>
          <w:tblHeader/>
        </w:trPr>
        <w:tc>
          <w:tcPr>
            <w:tcW w:w="9972" w:type="dxa"/>
          </w:tcPr>
          <w:p w14:paraId="0762E2CF" w14:textId="56AE7F9E" w:rsidR="00612C5F" w:rsidRDefault="00BE06C7">
            <w:pPr>
              <w:ind w:firstLine="0"/>
            </w:pPr>
            <w:r>
              <w:rPr>
                <w:b/>
              </w:rPr>
              <w:t>Transcripción del video. Incapacidades, licencias, ausencias y suspensiones en la nómina</w:t>
            </w:r>
          </w:p>
        </w:tc>
      </w:tr>
      <w:tr w:rsidR="00612C5F" w14:paraId="7583C4AB" w14:textId="77777777">
        <w:tc>
          <w:tcPr>
            <w:tcW w:w="9972" w:type="dxa"/>
          </w:tcPr>
          <w:p w14:paraId="4DD5A4B7" w14:textId="4D15886F" w:rsidR="00BE06C7" w:rsidRDefault="00BE06C7" w:rsidP="00BE06C7">
            <w:r>
              <w:t xml:space="preserve">Las incapacidades, licencias, ausencias y suspensiones constituyen novedades laborales que modifican el tiempo reconocido en la nómina y pueden generar efectos sobre el salario, los aportes al Sistema de Seguridad Social y las prestaciones sociales del trabajador. </w:t>
            </w:r>
          </w:p>
          <w:p w14:paraId="181CCD5C" w14:textId="77777777" w:rsidR="00BE06C7" w:rsidRDefault="00BE06C7" w:rsidP="00BE06C7">
            <w:r>
              <w:t xml:space="preserve">Para liquidarlas correctamente, es necesario revisar qué tipo de novedad se presentó, cuándo comenzó y terminó, qué documento la respalda y quién debe asumir su reconocimiento económico. También debe registrarse de manera adecuada en la PILA, la Planilla Integrada de Liquidación de Aportes.  </w:t>
            </w:r>
          </w:p>
          <w:p w14:paraId="68515C1F" w14:textId="4E1FF6F8" w:rsidR="00BE06C7" w:rsidRDefault="00BE06C7" w:rsidP="00BE06C7">
            <w:r>
              <w:t xml:space="preserve">En el caso de una incapacidad de origen común, es necesario identificar correctamente el periodo de duración y determinar quién asume el reconocimiento económico. Los dos primeros días se encuentran a cargo del empleador y, a partir del tercer día y hasta el día ciento ochenta, el reconocimiento corresponde a la Entidad Promotora de Salud, EPS. </w:t>
            </w:r>
          </w:p>
          <w:p w14:paraId="54D2DBCF" w14:textId="0C9325E7" w:rsidR="00BE06C7" w:rsidRDefault="00BE06C7" w:rsidP="00BE06C7">
            <w:r>
              <w:t xml:space="preserve">En este tipo de incapacidad, durante los primeros noventa días el auxilio económico equivale a las dos terceras partes del salario. Durante el periodo restante corresponde a la mitad, teniendo en cuenta la protección constitucional al ingreso mínimo del trabajador. </w:t>
            </w:r>
          </w:p>
          <w:p w14:paraId="26FC2B51" w14:textId="0421BE34" w:rsidR="00BE06C7" w:rsidRDefault="00BE06C7" w:rsidP="00BE06C7">
            <w:r>
              <w:t xml:space="preserve">Cuando la incapacidad tiene origen laboral, por un accidente de trabajo o una enfermedad laboral, la ARL realiza el reconocimiento económico. En estos casos, el </w:t>
            </w:r>
            <w:r>
              <w:lastRenderedPageBreak/>
              <w:t xml:space="preserve">reconocimiento equivale al cien por ciento del ingreso base de cotización, según la normativa vigente. </w:t>
            </w:r>
          </w:p>
          <w:p w14:paraId="018A7B84" w14:textId="1D8A759C" w:rsidR="00BE06C7" w:rsidRDefault="00BE06C7" w:rsidP="00BE06C7">
            <w:r>
              <w:t xml:space="preserve">Las licencias relacionadas con la maternidad y la paternidad también generan novedades que deben registrarse en la nómina. De manera general, la licencia de maternidad tiene una duración de dieciocho semanas remuneradas y la de paternidad corresponde a dos semanas.  </w:t>
            </w:r>
          </w:p>
          <w:p w14:paraId="7CB61229" w14:textId="63CE954C" w:rsidR="00BE06C7" w:rsidRDefault="00BE06C7" w:rsidP="00BE06C7">
            <w:r>
              <w:t xml:space="preserve">La legislación también contempla la licencia parental compartida y la licencia parental flexible de tiempo parcial. Su reconocimiento depende del cumplimiento de los requisitos establecidos legalmente para cada caso. </w:t>
            </w:r>
          </w:p>
          <w:p w14:paraId="61EA531F" w14:textId="07426439" w:rsidR="00BE06C7" w:rsidRDefault="00BE06C7" w:rsidP="00BE06C7">
            <w:r>
              <w:t xml:space="preserve">Una gestión adecuada comienza por identificar la novedad, comprobar su duración, determinar quién realiza el reconocimiento y efectuar los registros correspondientes. La liquidación de nómina debe responder a las obligaciones laborales y de seguridad social. </w:t>
            </w:r>
          </w:p>
        </w:tc>
      </w:tr>
    </w:tbl>
    <w:p w14:paraId="5B1CD05A" w14:textId="77777777" w:rsidR="00612C5F" w:rsidRDefault="00000000">
      <w:r>
        <w:lastRenderedPageBreak/>
        <w:t>Las siguientes novedades tienen tratamientos diferentes según su origen, duración y soporte. Su clasificación permite determinar el reconocimiento correspondiente y los controles necesarios.</w:t>
      </w:r>
    </w:p>
    <w:p w14:paraId="7B71ECD3" w14:textId="77777777" w:rsidR="00612C5F" w:rsidRDefault="00000000">
      <w:pPr>
        <w:pStyle w:val="Listaconvietas"/>
        <w:ind w:left="1134"/>
      </w:pPr>
      <w:r>
        <w:rPr>
          <w:b/>
        </w:rPr>
        <w:t>Incapacidad de origen común.</w:t>
      </w:r>
      <w:r>
        <w:t xml:space="preserve"> Sustituye temporalmente el salario por un auxilio económico. El empleador asume los dos primeros días y la EPS, desde el tercero. Se deben verificar el certificado, las fechas, el origen y las prórrogas.</w:t>
      </w:r>
    </w:p>
    <w:p w14:paraId="5C975C94" w14:textId="77777777" w:rsidR="00612C5F" w:rsidRDefault="00000000">
      <w:pPr>
        <w:pStyle w:val="Listaconvietas"/>
        <w:ind w:left="1134"/>
      </w:pPr>
      <w:r>
        <w:rPr>
          <w:b/>
        </w:rPr>
        <w:lastRenderedPageBreak/>
        <w:t>Incapacidad de origen laboral.</w:t>
      </w:r>
      <w:r>
        <w:t xml:space="preserve"> Se reconoce sobre el 100 % del ingreso base de cotización y está a cargo de la ARL. Se deben confirmar la calificación del origen y el reporte del accidente o enfermedad.</w:t>
      </w:r>
    </w:p>
    <w:p w14:paraId="35C77268" w14:textId="77777777" w:rsidR="00612C5F" w:rsidRDefault="00000000">
      <w:pPr>
        <w:pStyle w:val="Listaconvietas"/>
        <w:ind w:left="1134"/>
      </w:pPr>
      <w:r>
        <w:rPr>
          <w:b/>
        </w:rPr>
        <w:t>Licencia de maternidad.</w:t>
      </w:r>
      <w:r>
        <w:t xml:space="preserve"> Corresponde a un descanso remunerado de 18 semanas, con las ampliaciones que procedan. El reconocimiento corresponde al sistema de salud, según el cumplimiento de los requisitos. Se deben verificar el certificado, la fecha de inicio y las semanas reconocidas.</w:t>
      </w:r>
    </w:p>
    <w:p w14:paraId="3F7CD50D" w14:textId="77777777" w:rsidR="00612C5F" w:rsidRDefault="00000000">
      <w:pPr>
        <w:pStyle w:val="Listaconvietas"/>
        <w:ind w:left="1134"/>
      </w:pPr>
      <w:r>
        <w:rPr>
          <w:b/>
        </w:rPr>
        <w:t>Licencia de paternidad.</w:t>
      </w:r>
      <w:r>
        <w:t xml:space="preserve"> Corresponde a un descanso remunerado de dos semanas. El reconocimiento está a cargo del sistema de salud, según el cumplimiento de los requisitos. Se deben verificar el registro civil y las condiciones de reconocimiento.</w:t>
      </w:r>
    </w:p>
    <w:p w14:paraId="33062253" w14:textId="77777777" w:rsidR="00612C5F" w:rsidRDefault="00000000">
      <w:pPr>
        <w:pStyle w:val="Listaconvietas"/>
        <w:ind w:left="1134"/>
      </w:pPr>
      <w:r>
        <w:rPr>
          <w:b/>
        </w:rPr>
        <w:t>Licencia por luto.</w:t>
      </w:r>
      <w:r>
        <w:t xml:space="preserve"> Corresponde a un permiso remunerado de cinco días hábiles, a cargo del empleador. Se deben comprobar el parentesco y el soporte del fallecimiento.</w:t>
      </w:r>
    </w:p>
    <w:p w14:paraId="0D5F9263" w14:textId="77777777" w:rsidR="00612C5F" w:rsidRDefault="00000000">
      <w:pPr>
        <w:pStyle w:val="Listaconvietas"/>
        <w:ind w:left="1134"/>
      </w:pPr>
      <w:r>
        <w:rPr>
          <w:b/>
        </w:rPr>
        <w:t>Licencia no remunerada.</w:t>
      </w:r>
      <w:r>
        <w:t xml:space="preserve"> No genera salario durante el tiempo autorizado. Se deben verificar la solicitud, la autorización, las fechas y los efectos sobre los aportes.</w:t>
      </w:r>
    </w:p>
    <w:p w14:paraId="267F9757" w14:textId="77777777" w:rsidR="00612C5F" w:rsidRDefault="00000000">
      <w:pPr>
        <w:pStyle w:val="Listaconvietas"/>
        <w:ind w:left="1134"/>
      </w:pPr>
      <w:r>
        <w:rPr>
          <w:b/>
        </w:rPr>
        <w:t>Ausencia sin soporte.</w:t>
      </w:r>
      <w:r>
        <w:t xml:space="preserve"> No debe registrarse como incapacidad o licencia. Su tratamiento depende de la decisión adoptada conforme al procedimiento laboral. Se deben verificar la asistencia, los descargos y el reglamento.</w:t>
      </w:r>
    </w:p>
    <w:p w14:paraId="07DDA100" w14:textId="77777777" w:rsidR="00612C5F" w:rsidRDefault="00000000">
      <w:pPr>
        <w:pStyle w:val="Listaconvietas"/>
        <w:ind w:left="1134"/>
      </w:pPr>
      <w:r>
        <w:rPr>
          <w:b/>
        </w:rPr>
        <w:t>Suspensión del contrato.</w:t>
      </w:r>
      <w:r>
        <w:t xml:space="preserve"> Interrumpe temporalmente la prestación del servicio y el pago de salarios. Se deben identificar la causal, la duración y los efectos sobre la seguridad social.</w:t>
      </w:r>
    </w:p>
    <w:p w14:paraId="5C763FE9" w14:textId="77777777" w:rsidR="00612C5F" w:rsidRDefault="00000000">
      <w:r>
        <w:lastRenderedPageBreak/>
        <w:t>La licencia no remunerada puede dar lugar a la suspensión temporal del contrato cuando es concedida por el empleador. Durante la suspensión, se interrumpe la obligación del trabajador de prestar el servicio y la del empleador de pagar el salario, aunque deben revisarse de manera separada los efectos sobre la seguridad social y las prestaciones (Código Sustantivo del Trabajo, 1950).</w:t>
      </w:r>
    </w:p>
    <w:p w14:paraId="3F7EAF5A" w14:textId="77777777" w:rsidR="00612C5F" w:rsidRDefault="00000000">
      <w:pPr>
        <w:pStyle w:val="Ttulo5"/>
      </w:pPr>
      <w:r>
        <w:t>Ejemplo aplicado</w:t>
      </w:r>
    </w:p>
    <w:p w14:paraId="7A19E423" w14:textId="77777777" w:rsidR="00612C5F" w:rsidRDefault="00000000">
      <w:r>
        <w:t>Un trabajador presenta una incapacidad de origen común por cinco días. La novedad debe registrarse por la totalidad del periodo certificado, pero el responsable del reconocimiento se distribuye así:</w:t>
      </w:r>
    </w:p>
    <w:p w14:paraId="4E5207C1" w14:textId="77777777" w:rsidR="00612C5F" w:rsidRDefault="00000000">
      <w:pPr>
        <w:pStyle w:val="Listaconvietas"/>
        <w:ind w:left="1134"/>
      </w:pPr>
      <w:r>
        <w:t>Días 1 y 2: a cargo del empleador.</w:t>
      </w:r>
    </w:p>
    <w:p w14:paraId="3C004677" w14:textId="77777777" w:rsidR="00612C5F" w:rsidRDefault="00000000">
      <w:pPr>
        <w:pStyle w:val="Listaconvietas"/>
        <w:ind w:left="1134"/>
      </w:pPr>
      <w:r>
        <w:t>Días 3, 4 y 5: a cargo de la EPS.</w:t>
      </w:r>
    </w:p>
    <w:p w14:paraId="719C046A" w14:textId="77777777" w:rsidR="00612C5F" w:rsidRDefault="00000000">
      <w:r>
        <w:t>Antes de cerrar la nómina, se deben comprobar el certificado, la fecha de expedición, el origen común, la continuidad de la incapacidad y su registro en la PILA. No debe tratarse como una ausencia injustificada ni como una licencia no remunerada (Decreto 780 de 2016).</w:t>
      </w:r>
    </w:p>
    <w:p w14:paraId="096257C3" w14:textId="77777777" w:rsidR="00612C5F" w:rsidRDefault="00000000">
      <w:r>
        <w:t>En conclusión, cada novedad debe analizarse de acuerdo con su origen y soporte, porque no todas generan el mismo pago ni producen iguales efectos sobre el salario y los aportes. Esta diferenciación evita descontar días de forma incorrecta y permite continuar con la liquidación de vacaciones, prestaciones sociales y provisiones.</w:t>
      </w:r>
    </w:p>
    <w:p w14:paraId="1CCD940E" w14:textId="77777777" w:rsidR="00612C5F" w:rsidRDefault="00000000">
      <w:pPr>
        <w:pStyle w:val="Ttulo2"/>
      </w:pPr>
      <w:bookmarkStart w:id="11" w:name="_Toc244277540"/>
      <w:r>
        <w:t>Vacaciones, prestaciones sociales y provisiones</w:t>
      </w:r>
      <w:bookmarkEnd w:id="11"/>
    </w:p>
    <w:p w14:paraId="15B5AA1D" w14:textId="77777777" w:rsidR="00612C5F" w:rsidRDefault="00000000">
      <w:r>
        <w:t xml:space="preserve">Las vacaciones corresponden a un descanso remunerado de quince días hábiles consecutivos por cada año de servicios y se reconocen proporcionalmente cuando el contrato termina antes de completar el año. Durante su disfrute, el trabajador recibe el </w:t>
      </w:r>
      <w:r>
        <w:lastRenderedPageBreak/>
        <w:t>salario ordinario vigente al iniciar el descanso; cuando el salario es variable, se utiliza el promedio de lo devengado durante el año anterior o durante el tiempo laborado si este es menor (Código Sustantivo del Trabajo, 1950, arts. 186 y 192).</w:t>
      </w:r>
    </w:p>
    <w:p w14:paraId="754BE9E2" w14:textId="77777777" w:rsidR="00612C5F" w:rsidRDefault="00000000">
      <w:r>
        <w:t>Las prestaciones sociales comprenden, entre otros conceptos, la prima de servicios, las cesantías y los intereses sobre las cesantías. La prima equivale a treinta días de salario por año y se paga en dos partes: la primera, máximo el 30 de junio, y la segunda, durante los primeros veinte días de diciembre. Su reconocimiento es proporcional al tiempo laborado (Código Sustantivo del Trabajo, 1950, art. 306).</w:t>
      </w:r>
    </w:p>
    <w:p w14:paraId="7C586AA6" w14:textId="77777777" w:rsidR="00612C5F" w:rsidRDefault="00000000">
      <w:r>
        <w:t>El auxilio de cesantías equivale a un mes de salario por cada año de servicios o proporcionalmente por fracción. Los intereses sobre las cesantías corresponden al 12 % anual sobre las cesantías causadas o al valor proporcional cuando el periodo es inferior a un año (Código Sustantivo del Trabajo, 1950, art. 249).</w:t>
      </w:r>
    </w:p>
    <w:p w14:paraId="670063B4" w14:textId="77777777" w:rsidR="00612C5F" w:rsidRDefault="00000000">
      <w:r>
        <w:t>Los siguientes conceptos permiten diferenciar los derechos causados, las fórmulas generales y los controles requeridos para su liquidación o reconocimiento periódico:</w:t>
      </w:r>
    </w:p>
    <w:p w14:paraId="14FDE4E8" w14:textId="77777777" w:rsidR="00612C5F" w:rsidRDefault="00000000">
      <w:pPr>
        <w:pStyle w:val="Listaconvietas"/>
        <w:ind w:left="1134"/>
      </w:pPr>
      <w:r>
        <w:rPr>
          <w:b/>
        </w:rPr>
        <w:t>Vacaciones.</w:t>
      </w:r>
      <w:r>
        <w:t xml:space="preserve"> Corresponden a quince días hábiles por cada año de servicios. La fórmula general es base de vacaciones × días trabajados ÷ 720. Se deben verificar el periodo causado, los días disfrutados y el salario aplicable.</w:t>
      </w:r>
    </w:p>
    <w:p w14:paraId="6B435D10" w14:textId="77777777" w:rsidR="00612C5F" w:rsidRDefault="00000000">
      <w:pPr>
        <w:pStyle w:val="Listaconvietas"/>
        <w:ind w:left="1134"/>
      </w:pPr>
      <w:r>
        <w:rPr>
          <w:b/>
        </w:rPr>
        <w:t>Prima de servicios.</w:t>
      </w:r>
      <w:r>
        <w:t xml:space="preserve"> Equivale a treinta días de salario por año. La fórmula general es base de prima × días trabajados ÷ 360. Se deben confirmar el periodo, los pagos anteriores y los factores incluidos.</w:t>
      </w:r>
    </w:p>
    <w:p w14:paraId="12562547" w14:textId="77777777" w:rsidR="00612C5F" w:rsidRDefault="00000000">
      <w:pPr>
        <w:pStyle w:val="Listaconvietas"/>
        <w:ind w:left="1134"/>
      </w:pPr>
      <w:r>
        <w:rPr>
          <w:b/>
        </w:rPr>
        <w:lastRenderedPageBreak/>
        <w:t>Cesantías.</w:t>
      </w:r>
      <w:r>
        <w:t xml:space="preserve"> Equivalen a un mes de salario por año. La fórmula general es base de cesantías × días trabajados ÷ 360. Se deben revisar el salario, sus variaciones y el tiempo liquidado.</w:t>
      </w:r>
    </w:p>
    <w:p w14:paraId="0DE0CF04" w14:textId="77777777" w:rsidR="00612C5F" w:rsidRDefault="00000000">
      <w:pPr>
        <w:pStyle w:val="Listaconvietas"/>
        <w:ind w:left="1134"/>
      </w:pPr>
      <w:r>
        <w:rPr>
          <w:b/>
        </w:rPr>
        <w:t>Intereses sobre cesantías.</w:t>
      </w:r>
      <w:r>
        <w:t xml:space="preserve"> Corresponden al 12 % anual o a su valor proporcional. La fórmula general es cesantías × días trabajados × 12 % ÷ 360. Se deben comprobar las cesantías causadas y el número de días.</w:t>
      </w:r>
    </w:p>
    <w:p w14:paraId="0472851A" w14:textId="77777777" w:rsidR="00612C5F" w:rsidRDefault="00000000">
      <w:pPr>
        <w:pStyle w:val="Listaconvietas"/>
        <w:ind w:left="1134"/>
      </w:pPr>
      <w:r>
        <w:rPr>
          <w:b/>
        </w:rPr>
        <w:t>Provisión mensual.</w:t>
      </w:r>
      <w:r>
        <w:t xml:space="preserve"> Permite reconocer gradualmente el gasto y la obligación. Se determina mediante el valor estimado del concepto causado en el mes. Se debe conciliar la provisión con los pagos y los saldos acumulados.</w:t>
      </w:r>
    </w:p>
    <w:p w14:paraId="3868F636" w14:textId="77777777" w:rsidR="00612C5F" w:rsidRDefault="00000000">
      <w:r>
        <w:t>La liquidación y el reconocimiento periódico de estos conceptos deben atender a las reglas laborales aplicables y al marco contable correspondiente (Código Sustantivo del Trabajo, 1950, arts. 186, 192, 249 y 306; Decreto 116 de 1976; Decreto 2420 de 2015).</w:t>
      </w:r>
    </w:p>
    <w:p w14:paraId="2DBA3F33" w14:textId="77777777" w:rsidR="00612C5F" w:rsidRDefault="00000000">
      <w:pPr>
        <w:pStyle w:val="Ttulo5"/>
      </w:pPr>
      <w:r>
        <w:t>Ejemplo aplicado</w:t>
      </w:r>
    </w:p>
    <w:p w14:paraId="5D17493D" w14:textId="77777777" w:rsidR="00612C5F" w:rsidRDefault="00000000">
      <w:r>
        <w:t>Un trabajador recibe un salario mensual de $2.400.000 y ha laborado 180 días. Para simplificar el ejercicio, se supone que no existen pagos variables ni otros factores que modifiquen las bases.</w:t>
      </w:r>
    </w:p>
    <w:p w14:paraId="61618E76" w14:textId="77777777" w:rsidR="00612C5F" w:rsidRDefault="00000000">
      <w:r>
        <w:t>Vacaciones</w:t>
      </w:r>
    </w:p>
    <w:p w14:paraId="76A334E2" w14:textId="77777777" w:rsidR="00612C5F" w:rsidRDefault="00000000">
      <w:pPr>
        <w:pStyle w:val="Ttulo5"/>
      </w:pPr>
      <w:r>
        <w:t>$2.400.000 × 180 ÷ 720 = $600.000</w:t>
      </w:r>
    </w:p>
    <w:p w14:paraId="6E30B125" w14:textId="77777777" w:rsidR="00612C5F" w:rsidRDefault="00000000">
      <w:r>
        <w:t>Prima de servicios</w:t>
      </w:r>
    </w:p>
    <w:p w14:paraId="5D08B9C6" w14:textId="77777777" w:rsidR="00612C5F" w:rsidRDefault="00000000">
      <w:pPr>
        <w:pStyle w:val="Ttulo5"/>
      </w:pPr>
      <w:r>
        <w:t>$2.400.000 × 180 ÷ 360 = $1.200.000</w:t>
      </w:r>
    </w:p>
    <w:p w14:paraId="32CBB8F9" w14:textId="77777777" w:rsidR="00612C5F" w:rsidRDefault="00000000">
      <w:r>
        <w:t>Cesantías</w:t>
      </w:r>
    </w:p>
    <w:p w14:paraId="4C83EC57" w14:textId="77777777" w:rsidR="00612C5F" w:rsidRDefault="00000000">
      <w:pPr>
        <w:pStyle w:val="Ttulo5"/>
      </w:pPr>
      <w:r>
        <w:lastRenderedPageBreak/>
        <w:t>$2.400.000 × 180 ÷ 360 = $1.200.000</w:t>
      </w:r>
    </w:p>
    <w:p w14:paraId="7C0EB52C" w14:textId="77777777" w:rsidR="00612C5F" w:rsidRDefault="00000000">
      <w:r>
        <w:t>Intereses sobre cesantías</w:t>
      </w:r>
    </w:p>
    <w:p w14:paraId="5B494494" w14:textId="77777777" w:rsidR="00612C5F" w:rsidRDefault="00000000">
      <w:pPr>
        <w:pStyle w:val="Ttulo5"/>
      </w:pPr>
      <w:r>
        <w:t>$1.200.000 × 180 × 12 % ÷ 360 = $72.000</w:t>
      </w:r>
    </w:p>
    <w:p w14:paraId="24D8DBAD" w14:textId="77777777" w:rsidR="00612C5F" w:rsidRDefault="00000000">
      <w:r>
        <w:t>Antes de aprobar los valores, se deben revisar las fechas de ingreso y corte, los pagos variables, las vacaciones ya disfrutadas y los abonos efectuados durante el periodo. Las bases de vacaciones, prima y cesantías no deben asumirse automáticamente como iguales, porque pueden variar según la naturaleza de los conceptos devengados (Código Sustantivo del Trabajo, 1950, arts. 186, 192, 249 y 306).</w:t>
      </w:r>
    </w:p>
    <w:p w14:paraId="2E7043A1" w14:textId="77777777" w:rsidR="00612C5F" w:rsidRDefault="00000000">
      <w:r>
        <w:t>Las provisiones permiten reconocer periódicamente el gasto y la obligación causada, aunque el pago se realice en una fecha posterior. Al cierre de cada periodo, los valores provisionados deben compararse con los derechos efectivamente causados y ajustarse cuando existan diferencias por cambios salariales, novedades o pagos realizados.</w:t>
      </w:r>
    </w:p>
    <w:p w14:paraId="23DF51C7" w14:textId="77777777" w:rsidR="00612C5F" w:rsidRDefault="00000000">
      <w:r>
        <w:t>En conclusión, la liquidación debe diferenciar el descanso remunerado, las prestaciones sociales y las provisiones contables. Esta separación facilita determinar los derechos causados, reconocer las obligaciones y preparar la información necesaria para una eventual terminación del contrato.</w:t>
      </w:r>
    </w:p>
    <w:p w14:paraId="49511469" w14:textId="77777777" w:rsidR="00612C5F" w:rsidRDefault="00000000">
      <w:pPr>
        <w:pStyle w:val="Ttulo2"/>
      </w:pPr>
      <w:bookmarkStart w:id="12" w:name="_Toc244277541"/>
      <w:r>
        <w:t>Terminación, liquidación final e indemnizaciones</w:t>
      </w:r>
      <w:bookmarkEnd w:id="12"/>
    </w:p>
    <w:p w14:paraId="4688E72C" w14:textId="77777777" w:rsidR="00612C5F" w:rsidRDefault="00000000">
      <w:r>
        <w:t>La terminación del contrato puede producirse, entre otras causas, por acuerdo entre las partes, vencimiento del plazo, finalización de la obra o labor, decisión unilateral o configuración de una justa causa. Independientemente del motivo, se deben determinar los salarios y derechos causados hasta la fecha efectiva de retiro (Código Sustantivo del Trabajo, 1950, art. 61).</w:t>
      </w:r>
    </w:p>
    <w:p w14:paraId="0D195376" w14:textId="77777777" w:rsidR="00612C5F" w:rsidRDefault="00000000">
      <w:r>
        <w:lastRenderedPageBreak/>
        <w:t>La liquidación final puede comprender salarios pendientes, prima de servicios, cesantías, intereses sobre las cesantías, vacaciones no disfrutadas y demás conceptos causados. Las vacaciones deben compensarse proporcionalmente por el tiempo efectivamente trabajado cuando termina el contrato, aunque no se haya completado un año de servicios (Ley 995 de 2005).</w:t>
      </w:r>
    </w:p>
    <w:p w14:paraId="1FA38C7E" w14:textId="77777777" w:rsidR="00612C5F" w:rsidRDefault="00000000">
      <w:r>
        <w:t xml:space="preserve">La indemnización por terminación sin justa causa no hace parte de todas las liquidaciones. Se reconoce cuando el empleador termina unilateralmente el contrato sin una causa legal comprobada o cuando da lugar a que el trabajador lo termine por una justa causa atribuible al empleador (Código Sustantivo del Trabajo, 1950, art. 64). Los siguientes conceptos deben revisarse al finalizar el contrato, diferenciando los derechos causados de las indemnizaciones que eventualmente correspondan: </w:t>
      </w:r>
    </w:p>
    <w:p w14:paraId="60518135" w14:textId="77777777" w:rsidR="00612C5F" w:rsidRDefault="00000000">
      <w:pPr>
        <w:pStyle w:val="Listaconvietas"/>
        <w:ind w:left="1134"/>
      </w:pPr>
      <w:r>
        <w:rPr>
          <w:b/>
        </w:rPr>
        <w:t>Salario pendiente.</w:t>
      </w:r>
      <w:r>
        <w:t xml:space="preserve"> Se calcula mediante salario diario × días pendientes de pago. Se deben verificar la fecha efectiva de retiro y el último periodo pagado.</w:t>
      </w:r>
    </w:p>
    <w:p w14:paraId="31D6BA60" w14:textId="77777777" w:rsidR="00612C5F" w:rsidRDefault="00000000">
      <w:pPr>
        <w:pStyle w:val="Listaconvietas"/>
        <w:ind w:left="1134"/>
      </w:pPr>
      <w:r>
        <w:rPr>
          <w:b/>
        </w:rPr>
        <w:t>Prima de servicios.</w:t>
      </w:r>
      <w:r>
        <w:t xml:space="preserve"> Se calcula mediante base de prima × días causados ÷ 360. Se deben descontar los valores pagados durante el semestre.</w:t>
      </w:r>
    </w:p>
    <w:p w14:paraId="15B8D2D7" w14:textId="77777777" w:rsidR="00612C5F" w:rsidRDefault="00000000">
      <w:pPr>
        <w:pStyle w:val="Listaconvietas"/>
        <w:ind w:left="1134"/>
      </w:pPr>
      <w:r>
        <w:rPr>
          <w:b/>
        </w:rPr>
        <w:t>Cesantías.</w:t>
      </w:r>
      <w:r>
        <w:t xml:space="preserve"> Se calculan mediante base de cesantías × días causados ÷ 360. Se deben revisar las consignaciones anteriores y el tiempo pendiente.</w:t>
      </w:r>
    </w:p>
    <w:p w14:paraId="6E7D2D09" w14:textId="77777777" w:rsidR="00612C5F" w:rsidRDefault="00000000">
      <w:pPr>
        <w:pStyle w:val="Listaconvietas"/>
        <w:ind w:left="1134"/>
      </w:pPr>
      <w:r>
        <w:rPr>
          <w:b/>
        </w:rPr>
        <w:t>Intereses sobre cesantías.</w:t>
      </w:r>
      <w:r>
        <w:t xml:space="preserve"> Se calculan mediante cesantías × días causados × 12 % ÷ 360. Se deben comprobar los intereses pagados previamente.</w:t>
      </w:r>
    </w:p>
    <w:p w14:paraId="5335B58B" w14:textId="77777777" w:rsidR="00612C5F" w:rsidRDefault="00000000">
      <w:pPr>
        <w:pStyle w:val="Listaconvietas"/>
        <w:ind w:left="1134"/>
      </w:pPr>
      <w:r>
        <w:rPr>
          <w:b/>
        </w:rPr>
        <w:t>Vacaciones.</w:t>
      </w:r>
      <w:r>
        <w:t xml:space="preserve"> Se calculan mediante base de vacaciones × días causados ÷ 720. Se deben restar los periodos disfrutados o compensados.</w:t>
      </w:r>
    </w:p>
    <w:p w14:paraId="4E827853" w14:textId="77777777" w:rsidR="00612C5F" w:rsidRDefault="00000000">
      <w:pPr>
        <w:pStyle w:val="Listaconvietas"/>
        <w:ind w:left="1134"/>
      </w:pPr>
      <w:r>
        <w:rPr>
          <w:b/>
        </w:rPr>
        <w:lastRenderedPageBreak/>
        <w:t>Indemnización en contrato a término fijo.</w:t>
      </w:r>
      <w:r>
        <w:t xml:space="preserve"> Corresponde a los salarios del tiempo faltante para cumplir el plazo. Se debe verificar la fecha pactada de terminación.</w:t>
      </w:r>
    </w:p>
    <w:p w14:paraId="7E4EF864" w14:textId="77777777" w:rsidR="00612C5F" w:rsidRDefault="00000000">
      <w:pPr>
        <w:pStyle w:val="Listaconvietas"/>
        <w:ind w:left="1134"/>
      </w:pPr>
      <w:r>
        <w:rPr>
          <w:b/>
        </w:rPr>
        <w:t>Indemnización en contrato por obra o labor.</w:t>
      </w:r>
      <w:r>
        <w:t xml:space="preserve"> Corresponde al valor del tiempo estimado faltante, sin ser inferior a quince días. Se deben comprobar la obra contratada y su estado.</w:t>
      </w:r>
    </w:p>
    <w:p w14:paraId="369C1847" w14:textId="77777777" w:rsidR="00612C5F" w:rsidRDefault="00000000">
      <w:pPr>
        <w:pStyle w:val="Listaconvietas"/>
        <w:ind w:left="1134"/>
      </w:pPr>
      <w:r>
        <w:rPr>
          <w:b/>
        </w:rPr>
        <w:t>Indemnización en contrato indefinido con salario inferior a diez SMLMV.</w:t>
      </w:r>
      <w:r>
        <w:t xml:space="preserve"> Corresponde a treinta días por el primer año y veinte días por cada año adicional, proporcionalmente por fracción. Se deben verificar el salario y la antigüedad.</w:t>
      </w:r>
    </w:p>
    <w:p w14:paraId="1D5C30B0" w14:textId="77777777" w:rsidR="00612C5F" w:rsidRDefault="00000000">
      <w:pPr>
        <w:pStyle w:val="Listaconvietas"/>
        <w:ind w:left="1134"/>
      </w:pPr>
      <w:r>
        <w:rPr>
          <w:b/>
        </w:rPr>
        <w:t>Indemnización en contrato indefinido con salario igual o superior a diez SMLMV.</w:t>
      </w:r>
      <w:r>
        <w:t xml:space="preserve"> Corresponde a veinte días por el primer año y quince días por cada año adicional, proporcionalmente por fracción. Se deben verificar el salario y la antigüedad.</w:t>
      </w:r>
    </w:p>
    <w:p w14:paraId="74C4A20E" w14:textId="77777777" w:rsidR="00612C5F" w:rsidRDefault="00000000">
      <w:pPr>
        <w:pStyle w:val="Listaconvietas"/>
        <w:ind w:left="1134"/>
      </w:pPr>
      <w:r>
        <w:rPr>
          <w:b/>
        </w:rPr>
        <w:t>Deducciones finales.</w:t>
      </w:r>
      <w:r>
        <w:t xml:space="preserve"> Comprenden los descuentos autorizados por la ley, el trabajador o una orden judicial. Se deben confirmar el soporte, el saldo y el límite de la deducción.</w:t>
      </w:r>
    </w:p>
    <w:p w14:paraId="3689F649" w14:textId="77777777" w:rsidR="00612C5F" w:rsidRDefault="00000000">
      <w:r>
        <w:t>La liquidación final debe sustentarse en las fechas, las bases, los pagos anteriores y la causa de terminación, conforme a las disposiciones aplicables (Código Sustantivo del Trabajo, 1950, arts. 64, 186, 249 y 306; Ley 995 de 2005).</w:t>
      </w:r>
    </w:p>
    <w:p w14:paraId="65BA2A74" w14:textId="77777777" w:rsidR="00612C5F" w:rsidRDefault="00000000">
      <w:pPr>
        <w:pStyle w:val="Ttulo5"/>
      </w:pPr>
      <w:r>
        <w:t>Ejemplo aplicado</w:t>
      </w:r>
    </w:p>
    <w:p w14:paraId="31FB9F79" w14:textId="77777777" w:rsidR="00612C5F" w:rsidRDefault="00000000">
      <w:r>
        <w:t>Un trabajador con contrato a término indefinido, salario mensual de $3.000.000 y una antigüedad de dos años y seis meses es despedido sin justa causa. El salario es inferior a diez salarios mínimos mensuales legales vigentes.</w:t>
      </w:r>
    </w:p>
    <w:p w14:paraId="1D21BE0D" w14:textId="77777777" w:rsidR="00612C5F" w:rsidRDefault="00000000">
      <w:r>
        <w:lastRenderedPageBreak/>
        <w:t>Salario diario</w:t>
      </w:r>
    </w:p>
    <w:p w14:paraId="3284AB13" w14:textId="77777777" w:rsidR="00612C5F" w:rsidRDefault="00000000">
      <w:pPr>
        <w:pStyle w:val="Ttulo5"/>
      </w:pPr>
      <w:r>
        <w:t>$3.000.000 ÷ 30 = $100.000</w:t>
      </w:r>
    </w:p>
    <w:p w14:paraId="26A3D424" w14:textId="77777777" w:rsidR="00612C5F" w:rsidRDefault="00000000">
      <w:r>
        <w:t>Días de indemnización</w:t>
      </w:r>
    </w:p>
    <w:p w14:paraId="760E338E" w14:textId="77777777" w:rsidR="00612C5F" w:rsidRDefault="00000000">
      <w:pPr>
        <w:pStyle w:val="Listaconvietas"/>
        <w:ind w:left="1134"/>
      </w:pPr>
      <w:r>
        <w:t>Primer año: 30 días.</w:t>
      </w:r>
    </w:p>
    <w:p w14:paraId="19DCBD8F" w14:textId="77777777" w:rsidR="00612C5F" w:rsidRDefault="00000000">
      <w:pPr>
        <w:pStyle w:val="Listaconvietas"/>
        <w:ind w:left="1134"/>
      </w:pPr>
      <w:r>
        <w:t>Segundo año: 20 días.</w:t>
      </w:r>
    </w:p>
    <w:p w14:paraId="4460CAE0" w14:textId="77777777" w:rsidR="00612C5F" w:rsidRDefault="00000000">
      <w:pPr>
        <w:pStyle w:val="Listaconvietas"/>
        <w:ind w:left="1134"/>
      </w:pPr>
      <w:r>
        <w:t>Fracción de seis meses: 10 días.</w:t>
      </w:r>
    </w:p>
    <w:p w14:paraId="5053C87E" w14:textId="77777777" w:rsidR="00612C5F" w:rsidRDefault="00000000">
      <w:r>
        <w:t>Total de días</w:t>
      </w:r>
    </w:p>
    <w:p w14:paraId="393F70CD" w14:textId="77777777" w:rsidR="00612C5F" w:rsidRDefault="00000000">
      <w:pPr>
        <w:pStyle w:val="Ttulo5"/>
      </w:pPr>
      <w:r>
        <w:t xml:space="preserve">30 + 20 + 10 = 60 días </w:t>
      </w:r>
    </w:p>
    <w:p w14:paraId="51D738F2" w14:textId="77777777" w:rsidR="00612C5F" w:rsidRDefault="00000000">
      <w:r>
        <w:t>Valor de la indemnización</w:t>
      </w:r>
    </w:p>
    <w:p w14:paraId="48B078E6" w14:textId="77777777" w:rsidR="00612C5F" w:rsidRDefault="00000000">
      <w:pPr>
        <w:pStyle w:val="Ttulo5"/>
      </w:pPr>
      <w:r>
        <w:t>$100.000 × 60 = $6.000.000</w:t>
      </w:r>
    </w:p>
    <w:p w14:paraId="351AF95B" w14:textId="77777777" w:rsidR="00612C5F" w:rsidRDefault="00000000">
      <w:r>
        <w:t>A este valor deben sumarse los salarios, prestaciones sociales y vacaciones causados y pendientes hasta la fecha del retiro. La indemnización no reemplaza estos derechos, sino que corresponde a un concepto adicional originado en la terminación sin justa causa (Código Sustantivo del Trabajo, 1950, art. 64).</w:t>
      </w:r>
    </w:p>
    <w:p w14:paraId="66DCDDD1" w14:textId="77777777" w:rsidR="00612C5F" w:rsidRDefault="00000000">
      <w:r>
        <w:t>El empleador debe revisar y pagar los salarios y prestaciones debidos al finalizar el vínculo. La falta de pago puede dar lugar a la indemnización moratoria prevista en el artículo 65; sin embargo, su imposición no es automática, pues la jurisprudencia exige analizar la conducta y la buena o mala fe del empleador en cada caso.</w:t>
      </w:r>
    </w:p>
    <w:p w14:paraId="423678E3" w14:textId="77777777" w:rsidR="00612C5F" w:rsidRDefault="00000000">
      <w:r>
        <w:t xml:space="preserve">En conclusión, la liquidación final debe separar los derechos causados de las indemnizaciones que eventualmente correspondan. La verificación de las fechas, bases, </w:t>
      </w:r>
      <w:r>
        <w:lastRenderedPageBreak/>
        <w:t>pagos anteriores y causa de terminación permite establecer correctamente el valor definitivo adeudado al trabajador.</w:t>
      </w:r>
    </w:p>
    <w:p w14:paraId="3EC86DC3" w14:textId="77777777" w:rsidR="00612C5F" w:rsidRDefault="00000000">
      <w:r>
        <w:br w:type="page"/>
      </w:r>
    </w:p>
    <w:p w14:paraId="2A27AEC1" w14:textId="77777777" w:rsidR="00612C5F" w:rsidRDefault="00000000">
      <w:pPr>
        <w:pStyle w:val="Ttulo1"/>
      </w:pPr>
      <w:bookmarkStart w:id="13" w:name="_Toc244277542"/>
      <w:r>
        <w:lastRenderedPageBreak/>
        <w:t>Deducciones y pagos a terceros</w:t>
      </w:r>
      <w:bookmarkEnd w:id="13"/>
    </w:p>
    <w:p w14:paraId="4F67DE94" w14:textId="77777777" w:rsidR="00612C5F" w:rsidRDefault="00000000">
      <w:r>
        <w:t>Las deducciones son valores que disminuyen el total devengado para determinar el neto que recibe el trabajador. Su aplicación debe estar respaldada por una disposición legal, una orden judicial o una autorización válida, debido a que el empleador no puede descontar sumas del salario de manera unilateral (Código Sustantivo del Trabajo, 1950, art. 149).</w:t>
      </w:r>
    </w:p>
    <w:p w14:paraId="5ED2C402" w14:textId="77777777" w:rsidR="00612C5F" w:rsidRDefault="00000000">
      <w:r>
        <w:t>Los valores deducidos deben identificarse por concepto, beneficiario y periodo. Posteriormente, se remiten a las entidades de seguridad social, fondos, autoridades judiciales, administraciones tributarias y demás terceros correspondientes. Este procedimiento permite diferenciar los descuentos asumidos por el trabajador de los aportes y obligaciones que se encuentran a cargo del empleador.</w:t>
      </w:r>
    </w:p>
    <w:p w14:paraId="56B65E50" w14:textId="77777777" w:rsidR="00612C5F" w:rsidRDefault="00000000">
      <w:pPr>
        <w:pStyle w:val="Ttulo2"/>
      </w:pPr>
      <w:bookmarkStart w:id="14" w:name="_Toc244277543"/>
      <w:r>
        <w:t>Aportes descontados al trabajador</w:t>
      </w:r>
      <w:bookmarkEnd w:id="14"/>
    </w:p>
    <w:p w14:paraId="2D4CF7E2" w14:textId="77777777" w:rsidR="00612C5F" w:rsidRDefault="00000000">
      <w:r>
        <w:t>Los trabajadores dependientes vinculados al régimen general participan en la financiación de los sistemas de salud y pensiones mediante aportes calculados sobre el ingreso base de cotización (IBC). El empleador debe descontar la parte correspondiente al trabajador, adicionar el valor que se encuentra a su cargo y efectuar el pago mediante la Planilla Integrada de Liquidación de Aportes (PILA) dentro de los plazos establecidos (Ley 100 de 1993).</w:t>
      </w:r>
    </w:p>
    <w:p w14:paraId="7CCE6440" w14:textId="77777777" w:rsidR="00612C5F" w:rsidRDefault="00000000">
      <w:r>
        <w:t>En salud, la cotización total corresponde al 12,5 % del ingreso base de cotización. El trabajador aporta el 4 % y el empleador asume el 8,5 %, sin perjuicio de las exoneraciones que puedan aplicarse al empleador en situaciones específicas (Ley 100 de 1993).</w:t>
      </w:r>
    </w:p>
    <w:p w14:paraId="14E8F293" w14:textId="77777777" w:rsidR="00612C5F" w:rsidRDefault="00000000">
      <w:r>
        <w:lastRenderedPageBreak/>
        <w:t>En pensiones, la cotización total corresponde al 16 % del ingreso base de cotización. Para los trabajadores dependientes, el empleador asume el 75 % de la cotización, equivalente al 12 %, y el trabajador aporta el 25 % restante, equivalente al 4 %.</w:t>
      </w:r>
    </w:p>
    <w:p w14:paraId="47AEA6AD" w14:textId="77777777" w:rsidR="00612C5F" w:rsidRDefault="00000000">
      <w:r>
        <w:t>Para este contenido se mantienen las reglas del Sistema General de Pensiones previstas en las leyes 100 de 1993 y 797 de 2003, debido a que la Corte Constitucional suspendió la entrada en vigencia general de la Ley 2381 de 2024 hasta que adopte una decisión definitiva, salvo las disposiciones expresamente exceptuadas. Los siguientes aportes permiten diferenciar los valores descontados al trabajador de aquellos asumidos por el empleador, junto con sus bases y controles generales:</w:t>
      </w:r>
    </w:p>
    <w:p w14:paraId="123D1A4F" w14:textId="77777777" w:rsidR="00612C5F" w:rsidRDefault="00000000">
      <w:pPr>
        <w:pStyle w:val="Listaconvietas"/>
        <w:ind w:left="1134"/>
      </w:pPr>
      <w:r>
        <w:rPr>
          <w:b/>
        </w:rPr>
        <w:t>Aporte a salud.</w:t>
      </w:r>
      <w:r>
        <w:t xml:space="preserve"> Se calcula sobre el IBC de salud. El trabajador aporta el 4 % y el empleador, el 8,5 %. Se deben verificar los días, las novedades y el ingreso base de cotización.</w:t>
      </w:r>
    </w:p>
    <w:p w14:paraId="4D270BE9" w14:textId="77777777" w:rsidR="00612C5F" w:rsidRDefault="00000000">
      <w:pPr>
        <w:pStyle w:val="Listaconvietas"/>
        <w:ind w:left="1134"/>
      </w:pPr>
      <w:r>
        <w:rPr>
          <w:b/>
        </w:rPr>
        <w:t>Aporte a pensión.</w:t>
      </w:r>
      <w:r>
        <w:t xml:space="preserve"> Se calcula sobre el IBC de pensión. El trabajador aporta el 4 % y el empleador, el 12 %. Se deben confirmar la afiliación, los días y el ingreso base de cotización.</w:t>
      </w:r>
    </w:p>
    <w:p w14:paraId="6E00C0DC" w14:textId="77777777" w:rsidR="00612C5F" w:rsidRDefault="00000000">
      <w:pPr>
        <w:pStyle w:val="Listaconvietas"/>
        <w:ind w:left="1134"/>
      </w:pPr>
      <w:r>
        <w:rPr>
          <w:b/>
        </w:rPr>
        <w:t>Fondo de Solidaridad Pensional.</w:t>
      </w:r>
      <w:r>
        <w:t xml:space="preserve"> Se aplica cuando el IBC de pensión es igual o superior a cuatro salarios mínimos mensuales legales vigentes. El aporte del trabajador comienza en el 1 %, según el rango de ingresos; no corresponde un aporte adicional del empleador. Se debe revisar la totalidad de ingresos del afiliado.</w:t>
      </w:r>
    </w:p>
    <w:p w14:paraId="2DF3A23F" w14:textId="77777777" w:rsidR="00612C5F" w:rsidRDefault="00000000">
      <w:pPr>
        <w:pStyle w:val="Listaconvietas"/>
        <w:ind w:left="1134"/>
      </w:pPr>
      <w:r>
        <w:rPr>
          <w:b/>
        </w:rPr>
        <w:t>Riesgos laborales.</w:t>
      </w:r>
      <w:r>
        <w:t xml:space="preserve"> Se calcula sobre el IBC de riesgos laborales y no se descuenta al trabajador dependiente. Está a cargo del empleador, según la clase de riesgo. Se deben verificar el centro de trabajo y la tarifa aplicable.</w:t>
      </w:r>
    </w:p>
    <w:p w14:paraId="76A41B22" w14:textId="77777777" w:rsidR="00612C5F" w:rsidRDefault="00000000">
      <w:pPr>
        <w:pStyle w:val="Listaconvietas"/>
        <w:ind w:left="1134"/>
      </w:pPr>
      <w:r>
        <w:rPr>
          <w:b/>
        </w:rPr>
        <w:lastRenderedPageBreak/>
        <w:t>Caja de compensación familiar.</w:t>
      </w:r>
      <w:r>
        <w:t xml:space="preserve"> Se calcula sobre la nómina o base parafiscal correspondiente. No se descuenta al trabajador y está a cargo del empleador. Se deben verificar la obligación y la base aplicable.</w:t>
      </w:r>
    </w:p>
    <w:p w14:paraId="10B1D5CD" w14:textId="77777777" w:rsidR="00612C5F" w:rsidRDefault="00000000">
      <w:pPr>
        <w:pStyle w:val="Listaconvietas"/>
        <w:ind w:left="1134"/>
      </w:pPr>
      <w:r>
        <w:rPr>
          <w:b/>
        </w:rPr>
        <w:t>SENA e ICBF.</w:t>
      </w:r>
      <w:r>
        <w:t xml:space="preserve"> Se calculan sobre la nómina o base parafiscal correspondiente. No se descuentan al trabajador y están a cargo del empleador cuando proceda. Se deben revisar las exoneraciones y la obligación aplicable.</w:t>
      </w:r>
    </w:p>
    <w:p w14:paraId="1163C310" w14:textId="77777777" w:rsidR="00612C5F" w:rsidRDefault="00000000">
      <w:r>
        <w:t>La separación de estos aportes permite identificar qué valores afectan el neto del trabajador y cuáles constituyen obligaciones propias del empleador (Ley 100 de 1993, arts. 20, 22 y 204; Ley 797 de 2003, art. 7).</w:t>
      </w:r>
    </w:p>
    <w:p w14:paraId="3B3EE905" w14:textId="77777777" w:rsidR="00612C5F" w:rsidRDefault="00000000">
      <w:pPr>
        <w:pStyle w:val="Ttulo3"/>
      </w:pPr>
      <w:r>
        <w:t>Fondo de Solidaridad Pensional</w:t>
      </w:r>
    </w:p>
    <w:p w14:paraId="777E4519" w14:textId="77777777" w:rsidR="00612C5F" w:rsidRDefault="00000000">
      <w:r>
        <w:t xml:space="preserve"> Los afiliados que tengan un ingreso mensual igual o superior a cuatro salarios mínimos mensuales legales vigentes (SMLMV) deben efectuar un aporte adicional del 1 % sobre el ingreso base de cotización con destino al Fondo de Solidaridad Pensional. Cuando el ingreso es igual o superior a dieciséis salarios mínimos, se aplica además una contribución adicional progresiva de entre el 0,2 % y el 1 %, según el rango correspondiente (Ley 797 de 2003, art. 8).</w:t>
      </w:r>
    </w:p>
    <w:p w14:paraId="422DB995" w14:textId="77777777" w:rsidR="00612C5F" w:rsidRDefault="00000000">
      <w:r>
        <w:t>Los siguientes rangos integran el aporte básico del 1 % y la contribución adicional aplicable a los ingresos iguales o superiores a dieciséis salarios mínimos.</w:t>
      </w:r>
    </w:p>
    <w:p w14:paraId="0A431424" w14:textId="77777777" w:rsidR="00BE06C7" w:rsidRDefault="00BE06C7"/>
    <w:p w14:paraId="22AD6E80" w14:textId="77777777" w:rsidR="00BE06C7" w:rsidRDefault="00BE06C7"/>
    <w:p w14:paraId="08071E10" w14:textId="77777777" w:rsidR="00BE06C7" w:rsidRDefault="00BE06C7"/>
    <w:p w14:paraId="6F355960" w14:textId="77777777" w:rsidR="00612C5F" w:rsidRDefault="00000000">
      <w:pPr>
        <w:pStyle w:val="Tabla"/>
      </w:pPr>
      <w:r>
        <w:lastRenderedPageBreak/>
        <w:t>Aportes al Fondo de Solidaridad Pensional según el ingreso base de cotización</w:t>
      </w:r>
    </w:p>
    <w:tbl>
      <w:tblPr>
        <w:tblStyle w:val="SENA"/>
        <w:tblW w:w="0" w:type="auto"/>
        <w:tblLook w:val="04A0" w:firstRow="1" w:lastRow="0" w:firstColumn="1" w:lastColumn="0" w:noHBand="0" w:noVBand="1"/>
      </w:tblPr>
      <w:tblGrid>
        <w:gridCol w:w="3823"/>
        <w:gridCol w:w="6139"/>
      </w:tblGrid>
      <w:tr w:rsidR="00612C5F" w14:paraId="43CF904E" w14:textId="77777777" w:rsidTr="00BE06C7">
        <w:trPr>
          <w:cnfStyle w:val="100000000000" w:firstRow="1" w:lastRow="0" w:firstColumn="0" w:lastColumn="0" w:oddVBand="0" w:evenVBand="0" w:oddHBand="0" w:evenHBand="0" w:firstRowFirstColumn="0" w:firstRowLastColumn="0" w:lastRowFirstColumn="0" w:lastRowLastColumn="0"/>
          <w:tblHeader/>
        </w:trPr>
        <w:tc>
          <w:tcPr>
            <w:tcW w:w="3823" w:type="dxa"/>
            <w:vAlign w:val="center"/>
          </w:tcPr>
          <w:p w14:paraId="6CB2A651" w14:textId="77777777" w:rsidR="00612C5F" w:rsidRDefault="00000000">
            <w:pPr>
              <w:pStyle w:val="TextoTablas"/>
            </w:pPr>
            <w:r>
              <w:t>Ingreso base de cotización</w:t>
            </w:r>
          </w:p>
        </w:tc>
        <w:tc>
          <w:tcPr>
            <w:tcW w:w="6139" w:type="dxa"/>
            <w:vAlign w:val="center"/>
          </w:tcPr>
          <w:p w14:paraId="1CA367BD" w14:textId="77777777" w:rsidR="00612C5F" w:rsidRDefault="00000000">
            <w:pPr>
              <w:pStyle w:val="TextoTablas"/>
            </w:pPr>
            <w:r>
              <w:t>Aporte total al Fondo de Solidaridad Pensional</w:t>
            </w:r>
          </w:p>
        </w:tc>
      </w:tr>
      <w:tr w:rsidR="00612C5F" w14:paraId="79791DA2" w14:textId="77777777" w:rsidTr="00BE06C7">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0CDFE797" w14:textId="77777777" w:rsidR="00612C5F" w:rsidRDefault="00000000">
            <w:pPr>
              <w:pStyle w:val="TextoTablas"/>
            </w:pPr>
            <w:r>
              <w:t>Desde 4 y menos de 16 SMLMV</w:t>
            </w:r>
          </w:p>
        </w:tc>
        <w:tc>
          <w:tcPr>
            <w:tcW w:w="6139" w:type="dxa"/>
            <w:vAlign w:val="center"/>
          </w:tcPr>
          <w:p w14:paraId="04C44AE0" w14:textId="77777777" w:rsidR="00612C5F" w:rsidRDefault="00000000">
            <w:pPr>
              <w:pStyle w:val="TextoTablas"/>
            </w:pPr>
            <w:r>
              <w:t>1 % del ingreso base de cotización.</w:t>
            </w:r>
          </w:p>
        </w:tc>
      </w:tr>
      <w:tr w:rsidR="00612C5F" w14:paraId="03EBA4CB" w14:textId="77777777" w:rsidTr="00BE06C7">
        <w:tc>
          <w:tcPr>
            <w:tcW w:w="3823" w:type="dxa"/>
            <w:vAlign w:val="center"/>
          </w:tcPr>
          <w:p w14:paraId="3672BAC6" w14:textId="77777777" w:rsidR="00612C5F" w:rsidRDefault="00000000">
            <w:pPr>
              <w:pStyle w:val="TextoTablas"/>
            </w:pPr>
            <w:r>
              <w:t>Desde 16 y hasta 17 SMLMV</w:t>
            </w:r>
          </w:p>
        </w:tc>
        <w:tc>
          <w:tcPr>
            <w:tcW w:w="6139" w:type="dxa"/>
            <w:vAlign w:val="center"/>
          </w:tcPr>
          <w:p w14:paraId="6A741F8F" w14:textId="77777777" w:rsidR="00612C5F" w:rsidRDefault="00000000">
            <w:pPr>
              <w:pStyle w:val="TextoTablas"/>
            </w:pPr>
            <w:r>
              <w:t>1,2 %, integrado por el aporte básico del 1 % y una contribución adicional del 0,2 %.</w:t>
            </w:r>
          </w:p>
        </w:tc>
      </w:tr>
      <w:tr w:rsidR="00612C5F" w14:paraId="432377E8" w14:textId="77777777" w:rsidTr="00BE06C7">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021DAC2F" w14:textId="77777777" w:rsidR="00612C5F" w:rsidRDefault="00000000">
            <w:pPr>
              <w:pStyle w:val="TextoTablas"/>
            </w:pPr>
            <w:r>
              <w:t>Más de 17 y hasta 18 SMLMV</w:t>
            </w:r>
          </w:p>
        </w:tc>
        <w:tc>
          <w:tcPr>
            <w:tcW w:w="6139" w:type="dxa"/>
            <w:vAlign w:val="center"/>
          </w:tcPr>
          <w:p w14:paraId="47632F89" w14:textId="77777777" w:rsidR="00612C5F" w:rsidRDefault="00000000">
            <w:pPr>
              <w:pStyle w:val="TextoTablas"/>
            </w:pPr>
            <w:r>
              <w:t>1,4 %, integrado por el aporte básico del 1 % y una contribución adicional del 0,4 %.</w:t>
            </w:r>
          </w:p>
        </w:tc>
      </w:tr>
      <w:tr w:rsidR="00612C5F" w14:paraId="151B2801" w14:textId="77777777" w:rsidTr="00BE06C7">
        <w:tc>
          <w:tcPr>
            <w:tcW w:w="3823" w:type="dxa"/>
            <w:vAlign w:val="center"/>
          </w:tcPr>
          <w:p w14:paraId="42BBE7A8" w14:textId="77777777" w:rsidR="00612C5F" w:rsidRDefault="00000000">
            <w:pPr>
              <w:pStyle w:val="TextoTablas"/>
            </w:pPr>
            <w:r>
              <w:t>Más de 18 y hasta 19 SMLMV</w:t>
            </w:r>
          </w:p>
        </w:tc>
        <w:tc>
          <w:tcPr>
            <w:tcW w:w="6139" w:type="dxa"/>
            <w:vAlign w:val="center"/>
          </w:tcPr>
          <w:p w14:paraId="3DB2F2D8" w14:textId="77777777" w:rsidR="00612C5F" w:rsidRDefault="00000000">
            <w:pPr>
              <w:pStyle w:val="TextoTablas"/>
            </w:pPr>
            <w:r>
              <w:t>1,6 %, integrado por el aporte básico del 1 % y una contribución adicional del 0,6 %.</w:t>
            </w:r>
          </w:p>
        </w:tc>
      </w:tr>
      <w:tr w:rsidR="00612C5F" w14:paraId="68476E8D" w14:textId="77777777" w:rsidTr="00BE06C7">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4DDA788B" w14:textId="77777777" w:rsidR="00612C5F" w:rsidRDefault="00000000">
            <w:pPr>
              <w:pStyle w:val="TextoTablas"/>
            </w:pPr>
            <w:r>
              <w:t>Más de 19 y hasta 20 SMLMV</w:t>
            </w:r>
          </w:p>
        </w:tc>
        <w:tc>
          <w:tcPr>
            <w:tcW w:w="6139" w:type="dxa"/>
            <w:vAlign w:val="center"/>
          </w:tcPr>
          <w:p w14:paraId="514F3F97" w14:textId="77777777" w:rsidR="00612C5F" w:rsidRDefault="00000000">
            <w:pPr>
              <w:pStyle w:val="TextoTablas"/>
            </w:pPr>
            <w:r>
              <w:t>1,8 %, integrado por el aporte básico del 1 % y una contribución adicional del 0,8 %.</w:t>
            </w:r>
          </w:p>
        </w:tc>
      </w:tr>
      <w:tr w:rsidR="00612C5F" w14:paraId="188D9DB4" w14:textId="77777777" w:rsidTr="00BE06C7">
        <w:tc>
          <w:tcPr>
            <w:tcW w:w="3823" w:type="dxa"/>
            <w:vAlign w:val="center"/>
          </w:tcPr>
          <w:p w14:paraId="17690A3E" w14:textId="77777777" w:rsidR="00612C5F" w:rsidRDefault="00000000">
            <w:pPr>
              <w:pStyle w:val="TextoTablas"/>
            </w:pPr>
            <w:r>
              <w:t>Superior a 20 SMLMV</w:t>
            </w:r>
          </w:p>
        </w:tc>
        <w:tc>
          <w:tcPr>
            <w:tcW w:w="6139" w:type="dxa"/>
            <w:vAlign w:val="center"/>
          </w:tcPr>
          <w:p w14:paraId="33BA9908" w14:textId="77777777" w:rsidR="00612C5F" w:rsidRDefault="00000000">
            <w:pPr>
              <w:pStyle w:val="TextoTablas"/>
            </w:pPr>
            <w:r>
              <w:t>2 %, integrado por el aporte básico del 1 % y una contribución adicional del 1 %.</w:t>
            </w:r>
          </w:p>
        </w:tc>
      </w:tr>
    </w:tbl>
    <w:p w14:paraId="0BE7B50C" w14:textId="77777777" w:rsidR="00612C5F" w:rsidRDefault="00000000">
      <w:r>
        <w:t>La aplicación del porcentaje requiere identificar el rango de ingresos del afiliado y calcular el aporte sobre el IBC correspondiente.</w:t>
      </w:r>
    </w:p>
    <w:p w14:paraId="531938BE" w14:textId="77777777" w:rsidR="00612C5F" w:rsidRDefault="00000000">
      <w:pPr>
        <w:pStyle w:val="Ttulo5"/>
      </w:pPr>
      <w:r>
        <w:t>Ejemplo aplicado</w:t>
      </w:r>
    </w:p>
    <w:p w14:paraId="09A2B163" w14:textId="77777777" w:rsidR="00612C5F" w:rsidRDefault="00000000">
      <w:r>
        <w:t>Un trabajador presenta un ingreso base de cotización de $3.000.000. Como su ingreso es inferior a cuatro salarios mínimos, no está sujeto al aporte adicional al Fondo de Solidaridad Pensional.</w:t>
      </w:r>
    </w:p>
    <w:p w14:paraId="417BC6B5" w14:textId="77777777" w:rsidR="00612C5F" w:rsidRDefault="00000000">
      <w:r>
        <w:t>Aporte del trabajador a salud</w:t>
      </w:r>
    </w:p>
    <w:p w14:paraId="4482D9E2" w14:textId="77777777" w:rsidR="00612C5F" w:rsidRDefault="00000000">
      <w:pPr>
        <w:pStyle w:val="Ttulo5"/>
      </w:pPr>
      <w:r>
        <w:t>$3.000.000 × 4 % = $120.000</w:t>
      </w:r>
    </w:p>
    <w:p w14:paraId="6AED7B8E" w14:textId="77777777" w:rsidR="00612C5F" w:rsidRDefault="00000000">
      <w:r>
        <w:t>Aporte del trabajador a pensión</w:t>
      </w:r>
    </w:p>
    <w:p w14:paraId="33A9E93A" w14:textId="77777777" w:rsidR="00612C5F" w:rsidRDefault="00000000">
      <w:pPr>
        <w:pStyle w:val="Ttulo5"/>
      </w:pPr>
      <w:r>
        <w:lastRenderedPageBreak/>
        <w:t>$3.000.000 × 4 % = $120.000</w:t>
      </w:r>
    </w:p>
    <w:p w14:paraId="18652C9D" w14:textId="77777777" w:rsidR="00612C5F" w:rsidRDefault="00000000">
      <w:r>
        <w:t>Total descontado por seguridad social</w:t>
      </w:r>
    </w:p>
    <w:p w14:paraId="7C6D5501" w14:textId="77777777" w:rsidR="00612C5F" w:rsidRDefault="00000000">
      <w:pPr>
        <w:pStyle w:val="Ttulo5"/>
      </w:pPr>
      <w:r>
        <w:t>$120.000 + $120.000 = $240.000</w:t>
      </w:r>
    </w:p>
    <w:p w14:paraId="0962FCA1" w14:textId="77777777" w:rsidR="00612C5F" w:rsidRDefault="00000000">
      <w:r>
        <w:t>El empleador debe descontar los $240.000 en la nómina, adicionar los aportes que se encuentran a su cargo y pagar la totalidad mediante la PILA. La responsabilidad del empleador subsiste incluso cuando no haya efectuado oportunamente el descuento al trabajador (Ley 100 de 1993).</w:t>
      </w:r>
    </w:p>
    <w:p w14:paraId="35826A4E" w14:textId="77777777" w:rsidR="00612C5F" w:rsidRDefault="00000000">
      <w:r>
        <w:t>En conclusión, los aportes descontados deben calcularse sobre el IBC correcto y mantenerse separados de las obligaciones exclusivas del empleador. Esta diferenciación permite determinar adecuadamente el neto pagado y preparar la información que será registrada en la PILA.</w:t>
      </w:r>
    </w:p>
    <w:p w14:paraId="6735068E" w14:textId="77777777" w:rsidR="00612C5F" w:rsidRDefault="00000000">
      <w:pPr>
        <w:pStyle w:val="Ttulo2"/>
      </w:pPr>
      <w:bookmarkStart w:id="15" w:name="_Toc244277544"/>
      <w:r>
        <w:t>Retenciones, embargos y deducciones autorizadas</w:t>
      </w:r>
      <w:bookmarkEnd w:id="15"/>
    </w:p>
    <w:p w14:paraId="784955B7" w14:textId="77777777" w:rsidR="00612C5F" w:rsidRDefault="00000000">
      <w:r>
        <w:t>A continuación, se presenta un pódcast sobre los principales descuentos y deducciones aplicables al salario, su origen, los límites legales y los soportes requeridos para su correcta aplicación en la nómina.</w:t>
      </w:r>
    </w:p>
    <w:tbl>
      <w:tblPr>
        <w:tblStyle w:val="Tablaconcuadrcula"/>
        <w:tblW w:w="0" w:type="auto"/>
        <w:tblLook w:val="04A0" w:firstRow="1" w:lastRow="0" w:firstColumn="1" w:lastColumn="0" w:noHBand="0" w:noVBand="1"/>
      </w:tblPr>
      <w:tblGrid>
        <w:gridCol w:w="9962"/>
      </w:tblGrid>
      <w:tr w:rsidR="00BE06C7" w14:paraId="31EC6F1B" w14:textId="77777777" w:rsidTr="00BE06C7">
        <w:tc>
          <w:tcPr>
            <w:tcW w:w="9962" w:type="dxa"/>
          </w:tcPr>
          <w:p w14:paraId="09D7ABF4" w14:textId="4E7C6278" w:rsidR="00BE06C7" w:rsidRDefault="00BE06C7" w:rsidP="00BE06C7">
            <w:pPr>
              <w:ind w:firstLine="0"/>
            </w:pPr>
            <w:r>
              <w:t xml:space="preserve">Transcripción pódcast. </w:t>
            </w:r>
          </w:p>
        </w:tc>
      </w:tr>
      <w:tr w:rsidR="00BE06C7" w14:paraId="02FFB3F0" w14:textId="77777777" w:rsidTr="00BE06C7">
        <w:tc>
          <w:tcPr>
            <w:tcW w:w="9962" w:type="dxa"/>
          </w:tcPr>
          <w:p w14:paraId="57B20D80" w14:textId="4BE85DD1" w:rsidR="00BE06C7" w:rsidRDefault="00BE06C7" w:rsidP="00BE06C7">
            <w:proofErr w:type="spellStart"/>
            <w:r w:rsidRPr="00BE06C7">
              <w:rPr>
                <w:b/>
                <w:bCs/>
              </w:rPr>
              <w:t>Asusena</w:t>
            </w:r>
            <w:proofErr w:type="spellEnd"/>
            <w:r w:rsidRPr="00BE06C7">
              <w:rPr>
                <w:b/>
                <w:bCs/>
              </w:rPr>
              <w:t>:</w:t>
            </w:r>
            <w:r>
              <w:t xml:space="preserve"> Llega el pago y el sueldo trae una sorpresa: nos descuentan una herramienta perdida. La explicación es rapidísima: «Alguien tiene que responder». Curiosa eficiencia; para investigar faltan semanas, pero para restar ya está listo el sistema. </w:t>
            </w:r>
          </w:p>
          <w:p w14:paraId="0D2F61F8" w14:textId="012AFAD3" w:rsidR="00BE06C7" w:rsidRDefault="00BE06C7" w:rsidP="00BE06C7">
            <w:r w:rsidRPr="00BE06C7">
              <w:rPr>
                <w:b/>
                <w:bCs/>
              </w:rPr>
              <w:lastRenderedPageBreak/>
              <w:t>Don Campos:</w:t>
            </w:r>
            <w:r>
              <w:t xml:space="preserve"> Ahí salta el conejo para hablar sobre nuestro tema del día: diseño, liquidación y pago de nómina, bienvenidos. </w:t>
            </w:r>
          </w:p>
          <w:p w14:paraId="19004C24" w14:textId="4EB538AB" w:rsidR="00BE06C7" w:rsidRDefault="00BE06C7" w:rsidP="00BE06C7">
            <w:proofErr w:type="spellStart"/>
            <w:r w:rsidRPr="00BE06C7">
              <w:rPr>
                <w:b/>
                <w:bCs/>
              </w:rPr>
              <w:t>Asusena</w:t>
            </w:r>
            <w:proofErr w:type="spellEnd"/>
            <w:r w:rsidRPr="00BE06C7">
              <w:rPr>
                <w:b/>
                <w:bCs/>
              </w:rPr>
              <w:t>:</w:t>
            </w:r>
            <w:r>
              <w:rPr>
                <w:b/>
                <w:bCs/>
              </w:rPr>
              <w:t xml:space="preserve"> </w:t>
            </w:r>
            <w:r>
              <w:t xml:space="preserve">Los descuentos salariales deben tener fundamento: una disposición legal, una orden judicial o una autorización expresa del trabajador, según corresponda. </w:t>
            </w:r>
          </w:p>
          <w:p w14:paraId="30EF56FB" w14:textId="43149356" w:rsidR="00BE06C7" w:rsidRDefault="00BE06C7" w:rsidP="00BE06C7">
            <w:r w:rsidRPr="00BE06C7">
              <w:rPr>
                <w:b/>
                <w:bCs/>
              </w:rPr>
              <w:t>Don Campos:</w:t>
            </w:r>
            <w:r>
              <w:rPr>
                <w:b/>
                <w:bCs/>
              </w:rPr>
              <w:t xml:space="preserve"> </w:t>
            </w:r>
            <w:r>
              <w:t xml:space="preserve">Y cada caso tiene condiciones y límites. Que exista una pérdida no permite trasladarla automáticamente al bolsillo de quien trabaja; la molestia del empleador no reemplaza los requisitos legales. </w:t>
            </w:r>
          </w:p>
          <w:p w14:paraId="3DCF6E65" w14:textId="3DEAD913" w:rsidR="00BE06C7" w:rsidRDefault="00BE06C7" w:rsidP="00BE06C7">
            <w:proofErr w:type="spellStart"/>
            <w:r w:rsidRPr="00BE06C7">
              <w:rPr>
                <w:b/>
                <w:bCs/>
              </w:rPr>
              <w:t>Asusena</w:t>
            </w:r>
            <w:proofErr w:type="spellEnd"/>
            <w:r w:rsidRPr="00BE06C7">
              <w:rPr>
                <w:b/>
                <w:bCs/>
              </w:rPr>
              <w:t>:</w:t>
            </w:r>
            <w:r>
              <w:rPr>
                <w:b/>
                <w:bCs/>
              </w:rPr>
              <w:t xml:space="preserve"> </w:t>
            </w:r>
            <w:r>
              <w:t xml:space="preserve">Empecemos con la retención en la fuente sobre ingresos laborales: es un recaudo anticipado del impuesto de renta. </w:t>
            </w:r>
          </w:p>
          <w:p w14:paraId="496CE901" w14:textId="7608E732" w:rsidR="00BE06C7" w:rsidRDefault="00BE06C7" w:rsidP="00BE06C7">
            <w:r w:rsidRPr="00BE06C7">
              <w:rPr>
                <w:b/>
                <w:bCs/>
              </w:rPr>
              <w:t>Don Campos:</w:t>
            </w:r>
            <w:r>
              <w:rPr>
                <w:b/>
                <w:bCs/>
              </w:rPr>
              <w:t xml:space="preserve"> </w:t>
            </w:r>
            <w:r>
              <w:t xml:space="preserve">Para calcularla, depuramos los pagos; en palabras sencillas, restamos los conceptos que la ley permite excluir o descontar, incluidas las rentas exentas, y aplicamos la tabla correspondiente. </w:t>
            </w:r>
          </w:p>
          <w:p w14:paraId="43106528" w14:textId="573435AA" w:rsidR="00BE06C7" w:rsidRDefault="00BE06C7" w:rsidP="00BE06C7">
            <w:proofErr w:type="spellStart"/>
            <w:r w:rsidRPr="00BE06C7">
              <w:rPr>
                <w:b/>
                <w:bCs/>
              </w:rPr>
              <w:t>Asusena</w:t>
            </w:r>
            <w:proofErr w:type="spellEnd"/>
            <w:r w:rsidRPr="00BE06C7">
              <w:rPr>
                <w:b/>
                <w:bCs/>
              </w:rPr>
              <w:t>:</w:t>
            </w:r>
            <w:r>
              <w:rPr>
                <w:b/>
                <w:bCs/>
              </w:rPr>
              <w:t xml:space="preserve"> </w:t>
            </w:r>
            <w:r>
              <w:t xml:space="preserve">Distinto es el terreno de los embargos, que exigen una orden judicial y respetan un límite que casi nadie recuerda hasta que le llega el oficio: el salario mínimo es intocable, y de lo que sobre solamente se puede retener la quinta parte. </w:t>
            </w:r>
          </w:p>
          <w:p w14:paraId="5A7F52AA" w14:textId="5ACE4BB7" w:rsidR="00BE06C7" w:rsidRDefault="00BE06C7" w:rsidP="00BE06C7">
            <w:r w:rsidRPr="00BE06C7">
              <w:rPr>
                <w:b/>
                <w:bCs/>
              </w:rPr>
              <w:t>Don Campos:</w:t>
            </w:r>
            <w:r>
              <w:rPr>
                <w:b/>
                <w:bCs/>
              </w:rPr>
              <w:t xml:space="preserve"> </w:t>
            </w:r>
            <w:r>
              <w:t xml:space="preserve">La excepción llega con las obligaciones alimentarias y ciertas deudas con cooperativas autorizadas, donde el embargo sí puede subir hasta la mitad del salario; ahí la ley sí endurece la mano. </w:t>
            </w:r>
          </w:p>
          <w:p w14:paraId="67196344" w14:textId="10792175" w:rsidR="00BE06C7" w:rsidRDefault="00BE06C7" w:rsidP="00BE06C7">
            <w:proofErr w:type="spellStart"/>
            <w:r w:rsidRPr="00BE06C7">
              <w:rPr>
                <w:b/>
                <w:bCs/>
              </w:rPr>
              <w:t>Asusena</w:t>
            </w:r>
            <w:proofErr w:type="spellEnd"/>
            <w:r w:rsidRPr="00BE06C7">
              <w:rPr>
                <w:b/>
                <w:bCs/>
              </w:rPr>
              <w:t>:</w:t>
            </w:r>
            <w:r>
              <w:rPr>
                <w:b/>
                <w:bCs/>
              </w:rPr>
              <w:t xml:space="preserve"> </w:t>
            </w:r>
            <w:r>
              <w:t xml:space="preserve">Cuando hablamos de libranzas, préstamos empresariales o aportes voluntarios, necesitamos autorización previa, expresa y específica. </w:t>
            </w:r>
          </w:p>
          <w:p w14:paraId="76DE74A1" w14:textId="4C079043" w:rsidR="00BE06C7" w:rsidRDefault="00BE06C7" w:rsidP="00BE06C7">
            <w:r w:rsidRPr="00BE06C7">
              <w:rPr>
                <w:b/>
                <w:bCs/>
              </w:rPr>
              <w:lastRenderedPageBreak/>
              <w:t>Don Campos:</w:t>
            </w:r>
            <w:r>
              <w:rPr>
                <w:b/>
                <w:bCs/>
              </w:rPr>
              <w:t xml:space="preserve"> </w:t>
            </w:r>
            <w:r>
              <w:t xml:space="preserve">En la libranza aceptamos que determinadas cuotas salgan directamente de la nómina, respetando los límites legales. </w:t>
            </w:r>
          </w:p>
          <w:p w14:paraId="1671CEE5" w14:textId="5F7DE836" w:rsidR="00BE06C7" w:rsidRDefault="00BE06C7" w:rsidP="00BE06C7">
            <w:proofErr w:type="spellStart"/>
            <w:r w:rsidRPr="00BE06C7">
              <w:rPr>
                <w:b/>
                <w:bCs/>
              </w:rPr>
              <w:t>Asusena</w:t>
            </w:r>
            <w:proofErr w:type="spellEnd"/>
            <w:r w:rsidRPr="00BE06C7">
              <w:rPr>
                <w:b/>
                <w:bCs/>
              </w:rPr>
              <w:t>:</w:t>
            </w:r>
            <w:r>
              <w:rPr>
                <w:b/>
                <w:bCs/>
              </w:rPr>
              <w:t xml:space="preserve"> </w:t>
            </w:r>
            <w:r>
              <w:t xml:space="preserve">Cuando el descuento nace de un préstamo con la empresa, el acuerdo sobre la cuota y el plazo debe quedar aceptado antes de girar el primer pago, y la nómina debe llevar un registro actualizado de cuánto falta por cobrar, no fiarse de la memoria de nadie. </w:t>
            </w:r>
          </w:p>
          <w:p w14:paraId="4F54607D" w14:textId="0164810D" w:rsidR="00BE06C7" w:rsidRDefault="00BE06C7" w:rsidP="00BE06C7">
            <w:r w:rsidRPr="00BE06C7">
              <w:rPr>
                <w:b/>
                <w:bCs/>
              </w:rPr>
              <w:t>Don Campos:</w:t>
            </w:r>
            <w:r>
              <w:rPr>
                <w:b/>
                <w:bCs/>
              </w:rPr>
              <w:t xml:space="preserve"> </w:t>
            </w:r>
            <w:r>
              <w:t xml:space="preserve">Los aportes voluntarios, además, se descuentan por el valor aceptado. «Voluntario», algo que pierde bastante encanto cuando nadie recuerda haber dado permiso. </w:t>
            </w:r>
          </w:p>
          <w:p w14:paraId="57DBA04B" w14:textId="0B771638" w:rsidR="00BE06C7" w:rsidRDefault="00BE06C7" w:rsidP="00BE06C7">
            <w:proofErr w:type="spellStart"/>
            <w:r w:rsidRPr="00BE06C7">
              <w:rPr>
                <w:b/>
                <w:bCs/>
              </w:rPr>
              <w:t>Asusena</w:t>
            </w:r>
            <w:proofErr w:type="spellEnd"/>
            <w:r w:rsidRPr="00BE06C7">
              <w:rPr>
                <w:b/>
                <w:bCs/>
              </w:rPr>
              <w:t>:</w:t>
            </w:r>
            <w:r>
              <w:rPr>
                <w:b/>
                <w:bCs/>
              </w:rPr>
              <w:t xml:space="preserve"> </w:t>
            </w:r>
            <w:r>
              <w:t xml:space="preserve">Al liquidar la nómina, comprobamos </w:t>
            </w:r>
            <w:proofErr w:type="spellStart"/>
            <w:r>
              <w:t>qué</w:t>
            </w:r>
            <w:proofErr w:type="spellEnd"/>
            <w:r>
              <w:t xml:space="preserve"> respalda cada descuento, cuánto permite descontar y dónde está su soporte. Así protegemos el ingreso y evitamos que una resta mal hecha termine convertida en conflicto. </w:t>
            </w:r>
          </w:p>
          <w:p w14:paraId="0A1832A5" w14:textId="44FD6E5D" w:rsidR="00BE06C7" w:rsidRDefault="00BE06C7" w:rsidP="00BE06C7">
            <w:r w:rsidRPr="00BE06C7">
              <w:rPr>
                <w:b/>
                <w:bCs/>
              </w:rPr>
              <w:t>Don Campos:</w:t>
            </w:r>
            <w:r>
              <w:rPr>
                <w:b/>
                <w:bCs/>
              </w:rPr>
              <w:t xml:space="preserve"> </w:t>
            </w:r>
            <w:r>
              <w:t xml:space="preserve">Antes de tocar un peso del salario conviene verificar el origen, respetar el límite y conservar el soporte. </w:t>
            </w:r>
          </w:p>
          <w:p w14:paraId="566F32E1" w14:textId="78D082BC" w:rsidR="00BE06C7" w:rsidRDefault="00BE06C7" w:rsidP="00BE06C7">
            <w:proofErr w:type="spellStart"/>
            <w:r w:rsidRPr="00BE06C7">
              <w:rPr>
                <w:b/>
                <w:bCs/>
              </w:rPr>
              <w:t>Asusena</w:t>
            </w:r>
            <w:proofErr w:type="spellEnd"/>
            <w:r w:rsidRPr="00BE06C7">
              <w:rPr>
                <w:b/>
                <w:bCs/>
              </w:rPr>
              <w:t>:</w:t>
            </w:r>
            <w:r>
              <w:rPr>
                <w:b/>
                <w:bCs/>
              </w:rPr>
              <w:t xml:space="preserve"> </w:t>
            </w:r>
            <w:r>
              <w:t xml:space="preserve">Ese orden protege el bolsillo del trabajador y evita que el área de nómina termine explicando ante un juez por qué decidió, sin ningún respaldo, restarle plata al cheque de alguien. </w:t>
            </w:r>
            <w:proofErr w:type="spellStart"/>
            <w:r>
              <w:t>Adiocito</w:t>
            </w:r>
            <w:proofErr w:type="spellEnd"/>
            <w:r>
              <w:t xml:space="preserve">. </w:t>
            </w:r>
          </w:p>
        </w:tc>
      </w:tr>
    </w:tbl>
    <w:p w14:paraId="306A4F68" w14:textId="43E58AB4" w:rsidR="00612C5F" w:rsidRDefault="00612C5F" w:rsidP="00BE06C7"/>
    <w:p w14:paraId="7975216B" w14:textId="77777777" w:rsidR="00612C5F" w:rsidRDefault="00000000">
      <w:pPr>
        <w:pStyle w:val="Ttulo3"/>
      </w:pPr>
      <w:r>
        <w:t>Libranzas y descuentos directos</w:t>
      </w:r>
    </w:p>
    <w:p w14:paraId="1D900181" w14:textId="77777777" w:rsidR="00612C5F" w:rsidRDefault="00000000">
      <w:r>
        <w:t xml:space="preserve">La libranza permite que el empleador descuente de la nómina las cuotas autorizadas por el trabajador y las transfiera directamente a la entidad operadora. </w:t>
      </w:r>
      <w:r>
        <w:lastRenderedPageBreak/>
        <w:t>Después de aplicar los descuentos de ley, el trabajador debe conservar por lo menos el 50 % del valor neto de su salario.</w:t>
      </w:r>
    </w:p>
    <w:p w14:paraId="3896809D" w14:textId="77777777" w:rsidR="00612C5F" w:rsidRDefault="00000000">
      <w:pPr>
        <w:pStyle w:val="Ttulo5"/>
      </w:pPr>
      <w:r>
        <w:t>Ejemplo aplicado</w:t>
      </w:r>
    </w:p>
    <w:p w14:paraId="00D0DD35" w14:textId="77777777" w:rsidR="00612C5F" w:rsidRDefault="00000000">
      <w:r>
        <w:t>Después de descontar los aportes obligatorios y demás conceptos legales, un trabajador tiene un salario neto de $2.000.000. Para una operación de libranza, debe conservar como mínimo:</w:t>
      </w:r>
    </w:p>
    <w:p w14:paraId="67C2E962" w14:textId="77777777" w:rsidR="00612C5F" w:rsidRDefault="00000000">
      <w:pPr>
        <w:pStyle w:val="Ttulo5"/>
      </w:pPr>
      <w:r>
        <w:t>$2.000.000 × 50 % =$1.000.000</w:t>
      </w:r>
    </w:p>
    <w:p w14:paraId="3B80381C" w14:textId="77777777" w:rsidR="00612C5F" w:rsidRDefault="00000000">
      <w:r>
        <w:t>En consecuencia, la suma de las cuotas de libranza no podría superar $1.000.000 durante el periodo, porque el trabajador debe recibir al menos el otro 50 % de su salario neto. Antes de aplicar la cuota, se deben verificar la autorización, el saldo de la obligación, la entidad beneficiaria y la vigencia del descuento.</w:t>
      </w:r>
    </w:p>
    <w:p w14:paraId="40F55181" w14:textId="77777777" w:rsidR="00612C5F" w:rsidRDefault="00000000">
      <w:r>
        <w:t>En conclusión, cada deducción debe registrarse de manera independiente, indicando su origen, beneficiario, valor y soporte. Este control evita descuentos indebidos y permite remitir correctamente los recursos retenidos a las autoridades, entidades financieras y demás terceros.</w:t>
      </w:r>
    </w:p>
    <w:p w14:paraId="1E4498B5" w14:textId="77777777" w:rsidR="00612C5F" w:rsidRDefault="00000000">
      <w:pPr>
        <w:pStyle w:val="Ttulo2"/>
      </w:pPr>
      <w:bookmarkStart w:id="16" w:name="_Toc244277545"/>
      <w:r>
        <w:t>Aportes patronales y parafiscales</w:t>
      </w:r>
      <w:bookmarkEnd w:id="16"/>
    </w:p>
    <w:p w14:paraId="48A31F3C" w14:textId="77777777" w:rsidR="00612C5F" w:rsidRDefault="00000000">
      <w:r>
        <w:t>Además de los valores descontados al trabajador, el empleador debe asumir aportes propios asociados con la nómina. Entre ellos se encuentran la participación patronal en salud y pensión, los aportes al Sistema General de Riesgos Laborales y los aportes parafiscales destinados a las cajas de compensación familiar, el SENA y el ICBF, cuando exista la obligación de realizarlos.</w:t>
      </w:r>
    </w:p>
    <w:p w14:paraId="34F22594" w14:textId="77777777" w:rsidR="00612C5F" w:rsidRDefault="00000000">
      <w:r>
        <w:lastRenderedPageBreak/>
        <w:t>En salud, la cotización total corresponde al 12,5 % del ingreso base de cotización: el 8,5 % está a cargo del empleador y el 4 % corresponde al trabajador. Sin embargo, determinados empleadores pueden estar exonerados de efectuar el aporte patronal de salud respecto de trabajadores que devenguen menos de diez salarios mínimos mensuales legales vigentes (Ley 1122 de 2007).</w:t>
      </w:r>
    </w:p>
    <w:p w14:paraId="48985E01" w14:textId="77777777" w:rsidR="00612C5F" w:rsidRDefault="00000000">
      <w:r>
        <w:t>En pensiones, la cotización general corresponde al 16 % del ingreso base de cotización. El empleador asume el 75 % de la cotización, equivalente al 12 %, mientras que el trabajador aporta el 4 %. Para este contenido se mantienen estas reglas, debido a que la entrada en vigencia general de la Ley 2381 de 2024 continúa suspendida mientras la Corte Constitucional adopta una decisión definitiva sobre su constitucionalidad (Ley 797 de 2003).</w:t>
      </w:r>
    </w:p>
    <w:p w14:paraId="185B31E5" w14:textId="77777777" w:rsidR="00612C5F" w:rsidRDefault="00000000">
      <w:r>
        <w:t>Los aportes a riesgos laborales son asumidos por el empleador y se determinan según la clase de riesgo de la actividad. Como tarifas iniciales de referencia se aplican 0,522 % para riesgo I; 1,044 % para riesgo II; 2,436 % para riesgo III; 4,350 % para riesgo IV y 6,960 % para riesgo V. La cotización puede variar dentro de los límites establecidos para cada clase de riesgo (Ley 1562 de 2012).</w:t>
      </w:r>
    </w:p>
    <w:p w14:paraId="7D95D662" w14:textId="77777777" w:rsidR="00612C5F" w:rsidRDefault="00000000">
      <w:r>
        <w:t xml:space="preserve">Los aportes parafiscales generales corresponden al 4 % para las cajas de compensación familiar, 2 % para el SENA y 3 % para el ICBF, calculados sobre la nómina mensual de salarios conforme con las normas aplicables. La exoneración establecida en el artículo 114-1 del Estatuto Tributario puede cubrir los aportes al SENA y al ICBF, pero no elimina el aporte del 4 % a la caja de compensación familiar. Los siguientes conceptos permiten identificar los porcentajes generales, las bases y las condiciones que deben revisarse antes de liquidar los aportes a cargo del empleador: </w:t>
      </w:r>
    </w:p>
    <w:p w14:paraId="784E76A4" w14:textId="77777777" w:rsidR="00612C5F" w:rsidRDefault="00000000">
      <w:pPr>
        <w:pStyle w:val="Listaconvietas"/>
        <w:ind w:left="1134"/>
      </w:pPr>
      <w:r>
        <w:rPr>
          <w:b/>
        </w:rPr>
        <w:lastRenderedPageBreak/>
        <w:t>Salud.</w:t>
      </w:r>
      <w:r>
        <w:t xml:space="preserve"> El aporte general del empleador es del 8,5 % sobre el IBC de salud. Puede existir exoneración según el artículo 114-1 del Estatuto Tributario.</w:t>
      </w:r>
    </w:p>
    <w:p w14:paraId="752A7A52" w14:textId="77777777" w:rsidR="00612C5F" w:rsidRDefault="00000000">
      <w:pPr>
        <w:pStyle w:val="Listaconvietas"/>
        <w:ind w:left="1134"/>
      </w:pPr>
      <w:r>
        <w:rPr>
          <w:b/>
        </w:rPr>
        <w:t>Pensión.</w:t>
      </w:r>
      <w:r>
        <w:t xml:space="preserve"> El aporte general del empleador es del 12 % sobre el IBC de pensión. Corresponde al 75 % de la cotización total.</w:t>
      </w:r>
    </w:p>
    <w:p w14:paraId="79A388A8" w14:textId="77777777" w:rsidR="00612C5F" w:rsidRDefault="00000000">
      <w:pPr>
        <w:pStyle w:val="Listaconvietas"/>
        <w:ind w:left="1134"/>
      </w:pPr>
      <w:r>
        <w:rPr>
          <w:b/>
        </w:rPr>
        <w:t>Riesgos laborales.</w:t>
      </w:r>
      <w:r>
        <w:t xml:space="preserve"> El aporte está a cargo del empleador y se calcula sobre el IBC de riesgos laborales. La tarifa depende de la clasificación del riesgo.</w:t>
      </w:r>
    </w:p>
    <w:p w14:paraId="11BE9264" w14:textId="77777777" w:rsidR="00612C5F" w:rsidRDefault="00000000">
      <w:pPr>
        <w:pStyle w:val="Listaconvietas"/>
        <w:ind w:left="1134"/>
      </w:pPr>
      <w:r>
        <w:rPr>
          <w:b/>
        </w:rPr>
        <w:t>Caja de compensación familiar.</w:t>
      </w:r>
      <w:r>
        <w:t xml:space="preserve"> El aporte general es del 4 % sobre la nómina mensual de salarios. No está incluido en la exoneración del artículo 114-1 del Estatuto Tributario.</w:t>
      </w:r>
    </w:p>
    <w:p w14:paraId="5702B575" w14:textId="77777777" w:rsidR="00612C5F" w:rsidRDefault="00000000">
      <w:pPr>
        <w:pStyle w:val="Listaconvietas"/>
        <w:ind w:left="1134"/>
      </w:pPr>
      <w:r>
        <w:rPr>
          <w:b/>
        </w:rPr>
        <w:t>SENA.</w:t>
      </w:r>
      <w:r>
        <w:t xml:space="preserve"> El aporte general es del 2 % sobre la nómina mensual de salarios. Puede existir exoneración cuando se cumplan las condiciones aplicables.</w:t>
      </w:r>
    </w:p>
    <w:p w14:paraId="1DF82D03" w14:textId="77777777" w:rsidR="00612C5F" w:rsidRDefault="00000000">
      <w:pPr>
        <w:pStyle w:val="Listaconvietas"/>
        <w:ind w:left="1134"/>
      </w:pPr>
      <w:r>
        <w:rPr>
          <w:b/>
        </w:rPr>
        <w:t>ICBF.</w:t>
      </w:r>
      <w:r>
        <w:t xml:space="preserve"> El aporte general es del 3 % sobre la nómina mensual de salarios. Puede existir exoneración cuando se cumplan las condiciones aplicables.</w:t>
      </w:r>
    </w:p>
    <w:p w14:paraId="54E387F5" w14:textId="77777777" w:rsidR="00612C5F" w:rsidRDefault="00000000">
      <w:r>
        <w:t>La liquidación de estos aportes debe atender a las normas que regulan cada obligación y a las condiciones particulares del empleador (Ley 1122 de 2007; Ley 797 de 2003; Ley 1562 de 2012; Ley 21 de 1982; Ley 89 de 1988; Estatuto Tributario, art. 114-1).</w:t>
      </w:r>
    </w:p>
    <w:p w14:paraId="37E3A0DD" w14:textId="77777777" w:rsidR="00612C5F" w:rsidRDefault="00000000">
      <w:pPr>
        <w:pStyle w:val="Ttulo3"/>
      </w:pPr>
      <w:r>
        <w:t>Exoneración de aportes</w:t>
      </w:r>
    </w:p>
    <w:p w14:paraId="329F167A" w14:textId="77777777" w:rsidR="00612C5F" w:rsidRDefault="00000000">
      <w:r>
        <w:t xml:space="preserve">Las sociedades y personas jurídicas contribuyentes declarantes del impuesto sobre la renta pueden estar exoneradas de los aportes patronales a salud, SENA e ICBF respecto de trabajadores que individualmente devenguen menos de diez salarios mínimos mensuales legales vigentes. La norma también contempla la exoneración para personas naturales empleadoras, excepto cuando tengan menos de dos trabajadores. </w:t>
      </w:r>
      <w:r>
        <w:lastRenderedPageBreak/>
        <w:t>Antes de omitir un aporte, se debe comprobar que el empleador y el trabajador cumplan todas las condiciones previstas.</w:t>
      </w:r>
    </w:p>
    <w:p w14:paraId="1C2E1825" w14:textId="77777777" w:rsidR="00612C5F" w:rsidRDefault="00000000">
      <w:pPr>
        <w:pStyle w:val="Ttulo5"/>
      </w:pPr>
      <w:r>
        <w:t>Ejemplo aplicado</w:t>
      </w:r>
    </w:p>
    <w:p w14:paraId="2F610468" w14:textId="77777777" w:rsidR="00612C5F" w:rsidRDefault="00000000">
      <w:r>
        <w:t>Una empresa que no se encuentra exonerada liquida aportes sobre un IBC de $3.000.000 para un trabajador clasificado inicialmente en riesgo I. Los valores a cargo del empleador se determinan así:</w:t>
      </w:r>
    </w:p>
    <w:p w14:paraId="37F2CFC4" w14:textId="77777777" w:rsidR="00612C5F" w:rsidRDefault="00000000">
      <w:r>
        <w:t>Pensión</w:t>
      </w:r>
    </w:p>
    <w:p w14:paraId="79195EB4" w14:textId="77777777" w:rsidR="00612C5F" w:rsidRDefault="00000000">
      <w:pPr>
        <w:pStyle w:val="Ttulo5"/>
      </w:pPr>
      <w:r>
        <w:t>$3.000.000 × 12 % = $360.000</w:t>
      </w:r>
    </w:p>
    <w:p w14:paraId="5D530AB0" w14:textId="77777777" w:rsidR="00612C5F" w:rsidRDefault="00000000">
      <w:r>
        <w:t>Salud</w:t>
      </w:r>
    </w:p>
    <w:p w14:paraId="55CDDFF9" w14:textId="77777777" w:rsidR="00612C5F" w:rsidRDefault="00000000">
      <w:pPr>
        <w:pStyle w:val="Ttulo5"/>
      </w:pPr>
      <w:r>
        <w:t>$3.000.000 × 8,5 % = $255.000</w:t>
      </w:r>
    </w:p>
    <w:p w14:paraId="56162BB9" w14:textId="77777777" w:rsidR="00612C5F" w:rsidRDefault="00000000">
      <w:r>
        <w:t>Riesgos laborales</w:t>
      </w:r>
    </w:p>
    <w:p w14:paraId="2B983100" w14:textId="77777777" w:rsidR="00612C5F" w:rsidRDefault="00000000">
      <w:pPr>
        <w:pStyle w:val="Ttulo5"/>
      </w:pPr>
      <w:r>
        <w:t>$3.000.000 × 0,522 % = $15.660</w:t>
      </w:r>
    </w:p>
    <w:p w14:paraId="089C89D8" w14:textId="77777777" w:rsidR="00612C5F" w:rsidRDefault="00000000">
      <w:r>
        <w:t>Caja de compensación</w:t>
      </w:r>
    </w:p>
    <w:p w14:paraId="7860E9D3" w14:textId="77777777" w:rsidR="00612C5F" w:rsidRDefault="00000000">
      <w:pPr>
        <w:pStyle w:val="Ttulo5"/>
      </w:pPr>
      <w:r>
        <w:t>$3.000.000 × 4 % = $120.000</w:t>
      </w:r>
    </w:p>
    <w:p w14:paraId="38F732FF" w14:textId="77777777" w:rsidR="00612C5F" w:rsidRDefault="00000000">
      <w:r>
        <w:t>SENA</w:t>
      </w:r>
    </w:p>
    <w:p w14:paraId="7E6C377A" w14:textId="77777777" w:rsidR="00612C5F" w:rsidRDefault="00000000">
      <w:pPr>
        <w:pStyle w:val="Ttulo5"/>
      </w:pPr>
      <w:r>
        <w:t>$3.000.000 × 2 % = $60.000</w:t>
      </w:r>
    </w:p>
    <w:p w14:paraId="1899312B" w14:textId="77777777" w:rsidR="00612C5F" w:rsidRDefault="00000000">
      <w:r>
        <w:t>ICBF</w:t>
      </w:r>
    </w:p>
    <w:p w14:paraId="47FFFD30" w14:textId="77777777" w:rsidR="00612C5F" w:rsidRDefault="00000000">
      <w:pPr>
        <w:pStyle w:val="Ttulo5"/>
      </w:pPr>
      <w:r>
        <w:t>$3.000.000 × 3 % = $90.000</w:t>
      </w:r>
    </w:p>
    <w:p w14:paraId="42A0E79D" w14:textId="77777777" w:rsidR="00612C5F" w:rsidRDefault="00000000">
      <w:r>
        <w:t>Total de aportes a cargo del empleador</w:t>
      </w:r>
    </w:p>
    <w:p w14:paraId="31E24F52" w14:textId="77777777" w:rsidR="00612C5F" w:rsidRDefault="00000000">
      <w:pPr>
        <w:pStyle w:val="Ttulo5"/>
      </w:pPr>
      <w:r>
        <w:lastRenderedPageBreak/>
        <w:t>$360.000 + $255.000 + $15.660 + $120.000 + $60.000 + $90.000 = $900.660</w:t>
      </w:r>
    </w:p>
    <w:p w14:paraId="5209DC19" w14:textId="77777777" w:rsidR="00612C5F" w:rsidRDefault="00000000">
      <w:r>
        <w:t>Si el empleador cumple las condiciones de exoneración previstas en el artículo 114-1 del Estatuto Tributario, deberá revisar cuáles de estos conceptos no se generan para ese trabajador. La exoneración no debe aplicarse automáticamente a todos los aportes ni a todos los trabajadores.</w:t>
      </w:r>
    </w:p>
    <w:p w14:paraId="5F4D86B8" w14:textId="77777777" w:rsidR="00612C5F" w:rsidRDefault="00000000">
      <w:r>
        <w:t>En conclusión, los aportes patronales deben liquidarse separadamente de los descuentos efectuados al trabajador y verificarse según la base, la tarifa, la clase de riesgo y las posibles exoneraciones. Esta información será posteriormente cotejada y pagada mediante la Planilla Integrada de Liquidación de Aportes.</w:t>
      </w:r>
    </w:p>
    <w:p w14:paraId="3C36204E" w14:textId="77777777" w:rsidR="00612C5F" w:rsidRDefault="00000000">
      <w:pPr>
        <w:pStyle w:val="Ttulo2"/>
      </w:pPr>
      <w:bookmarkStart w:id="17" w:name="_Toc244277546"/>
      <w:r>
        <w:t>Planilla Integrada de Liquidación de Aportes</w:t>
      </w:r>
      <w:bookmarkEnd w:id="17"/>
    </w:p>
    <w:p w14:paraId="0382138D" w14:textId="77777777" w:rsidR="00612C5F" w:rsidRDefault="00000000">
      <w:r>
        <w:t>La Planilla Integrada de Liquidación de Aportes (PILA) es la herramienta mediante la cual los aportantes reportan y pagan de forma integrada los aportes al Sistema de Seguridad Social Integral y los parafiscales. La responsabilidad sobre la exactitud de los datos reportados corresponde al aportante, quien debe suministrar la información del trabajador, el periodo, los días, las novedades y los ingresos base de cotización aplicables.</w:t>
      </w:r>
    </w:p>
    <w:p w14:paraId="3034B914" w14:textId="77777777" w:rsidR="00612C5F" w:rsidRDefault="00000000">
      <w:r>
        <w:t>La Resolución 2388 de 2016 unificó las reglas para el recaudo mediante la PILA y adoptó sus anexos técnicos. Para trabajadores activos, el Anexo Técnico 2 establece la estructura de los archivos y los campos utilizados para identificar aportantes, cotizantes, administradoras, días, novedades, salarios e ingresos base de cotización. Este anexo ha sido actualizado posteriormente, por lo que debe consultarse su versión vigente al momento del reporte. Los siguientes controles permiten cotejar los datos de la nómina y la planilla antes de realizar el pago de los aportes:</w:t>
      </w:r>
    </w:p>
    <w:p w14:paraId="71ACF839" w14:textId="77777777" w:rsidR="00612C5F" w:rsidRDefault="00000000">
      <w:pPr>
        <w:pStyle w:val="Listaconvietas"/>
        <w:ind w:left="1134"/>
      </w:pPr>
      <w:r>
        <w:rPr>
          <w:b/>
        </w:rPr>
        <w:lastRenderedPageBreak/>
        <w:t>Identificación del cotizante.</w:t>
      </w:r>
      <w:r>
        <w:t xml:space="preserve"> Se deben comparar el tipo y el número de documento. Este control permite identificar trabajadores duplicados o registrados incorrectamente.</w:t>
      </w:r>
    </w:p>
    <w:p w14:paraId="13BB993F" w14:textId="77777777" w:rsidR="00612C5F" w:rsidRDefault="00000000">
      <w:pPr>
        <w:pStyle w:val="Listaconvietas"/>
        <w:ind w:left="1134"/>
      </w:pPr>
      <w:r>
        <w:rPr>
          <w:b/>
        </w:rPr>
        <w:t>Periodo de cotización.</w:t>
      </w:r>
      <w:r>
        <w:t xml:space="preserve"> Se deben confirmar el mes y el año reportados. La verificación evita que el pago se aplique a un periodo diferente.</w:t>
      </w:r>
    </w:p>
    <w:p w14:paraId="1EF2C727" w14:textId="77777777" w:rsidR="00612C5F" w:rsidRDefault="00000000">
      <w:pPr>
        <w:pStyle w:val="Listaconvietas"/>
        <w:ind w:left="1134"/>
      </w:pPr>
      <w:r>
        <w:rPr>
          <w:b/>
        </w:rPr>
        <w:t>Administradoras.</w:t>
      </w:r>
      <w:r>
        <w:t xml:space="preserve"> Se deben revisar la EPS, la administradora de pensiones, la ARL y la caja de compensación. El control evita dirigir aportes a una entidad incorrecta.</w:t>
      </w:r>
    </w:p>
    <w:p w14:paraId="62CEDEA9" w14:textId="77777777" w:rsidR="00612C5F" w:rsidRDefault="00000000">
      <w:pPr>
        <w:pStyle w:val="Listaconvietas"/>
        <w:ind w:left="1134"/>
      </w:pPr>
      <w:r>
        <w:rPr>
          <w:b/>
        </w:rPr>
        <w:t>Días cotizados.</w:t>
      </w:r>
      <w:r>
        <w:t xml:space="preserve"> Se deben comparar los días con el ingreso, el retiro y las demás novedades. Así se identifican diferencias por un número mayor o menor de días.</w:t>
      </w:r>
    </w:p>
    <w:p w14:paraId="3540DBC7" w14:textId="77777777" w:rsidR="00612C5F" w:rsidRDefault="00000000">
      <w:pPr>
        <w:pStyle w:val="Listaconvietas"/>
        <w:ind w:left="1134"/>
      </w:pPr>
      <w:r>
        <w:rPr>
          <w:b/>
        </w:rPr>
        <w:t>Novedades.</w:t>
      </w:r>
      <w:r>
        <w:t xml:space="preserve"> Se deben verificar el ingreso, retiro, incapacidad, licencia, vacaciones y variación salarial. El control permite identificar novedades omitidas o reportadas incorrectamente.</w:t>
      </w:r>
    </w:p>
    <w:p w14:paraId="143C27BB" w14:textId="77777777" w:rsidR="00612C5F" w:rsidRDefault="00000000">
      <w:pPr>
        <w:pStyle w:val="Listaconvietas"/>
        <w:ind w:left="1134"/>
      </w:pPr>
      <w:r>
        <w:rPr>
          <w:b/>
        </w:rPr>
        <w:t>IBC.</w:t>
      </w:r>
      <w:r>
        <w:t xml:space="preserve"> Se deben cotejar las bases de salud, pensión, riesgos y caja de compensación. Las diferencias entre nómina y PILA deben contar con justificación.</w:t>
      </w:r>
    </w:p>
    <w:p w14:paraId="62CCDA84" w14:textId="77777777" w:rsidR="00612C5F" w:rsidRDefault="00000000">
      <w:pPr>
        <w:pStyle w:val="Listaconvietas"/>
        <w:ind w:left="1134"/>
      </w:pPr>
      <w:r>
        <w:rPr>
          <w:b/>
        </w:rPr>
        <w:t>Tarifas.</w:t>
      </w:r>
      <w:r>
        <w:t xml:space="preserve"> Se deben verificar los porcentajes aplicables. Esta revisión permite identificar aportes calculados con una tarifa incorrecta.</w:t>
      </w:r>
    </w:p>
    <w:p w14:paraId="67E7F2E3" w14:textId="77777777" w:rsidR="00612C5F" w:rsidRDefault="00000000">
      <w:pPr>
        <w:pStyle w:val="Listaconvietas"/>
        <w:ind w:left="1134"/>
      </w:pPr>
      <w:r>
        <w:rPr>
          <w:b/>
        </w:rPr>
        <w:t>Aportes.</w:t>
      </w:r>
      <w:r>
        <w:t xml:space="preserve"> Se deben comparar los valores correspondientes al trabajador y al empleador. El control permite identificar diferencias frente a la nómina.</w:t>
      </w:r>
    </w:p>
    <w:p w14:paraId="485DCEBF" w14:textId="77777777" w:rsidR="00612C5F" w:rsidRDefault="00000000">
      <w:pPr>
        <w:pStyle w:val="Listaconvietas"/>
        <w:ind w:left="1134"/>
      </w:pPr>
      <w:r>
        <w:rPr>
          <w:b/>
        </w:rPr>
        <w:t>Total por pagar.</w:t>
      </w:r>
      <w:r>
        <w:t xml:space="preserve"> Se debe cotejar el valor total de la planilla con los aportes liquidados. Así se identifican diferencias antes de efectuar el pago.</w:t>
      </w:r>
    </w:p>
    <w:p w14:paraId="51D15EE3" w14:textId="77777777" w:rsidR="00612C5F" w:rsidRDefault="00000000">
      <w:pPr>
        <w:pStyle w:val="Listaconvietas"/>
        <w:ind w:left="1134"/>
      </w:pPr>
      <w:r>
        <w:rPr>
          <w:b/>
        </w:rPr>
        <w:lastRenderedPageBreak/>
        <w:t>Soporte de pago.</w:t>
      </w:r>
      <w:r>
        <w:t xml:space="preserve"> Se debe confirmar que la transacción fue procesada. Este control permite diferenciar una planilla liquidada de una efectivamente pagada.</w:t>
      </w:r>
    </w:p>
    <w:p w14:paraId="6831FAB6" w14:textId="77777777" w:rsidR="00612C5F" w:rsidRDefault="00000000">
      <w:pPr>
        <w:pStyle w:val="Ttulo5"/>
      </w:pPr>
      <w:r>
        <w:t>Ejemplo aplicado</w:t>
      </w:r>
    </w:p>
    <w:p w14:paraId="606C068F" w14:textId="77777777" w:rsidR="00612C5F" w:rsidRDefault="00000000">
      <w:r>
        <w:t>Una empresa liquida para un trabajador un IBC de salud y pensión de $3.000.000 por treinta días. Al revisar la PILA, encuentra que el sistema reporta únicamente veinte días y un IBC de $2.000.000. Antes de efectuar el pago, debe verificar si existe una novedad de ingreso, retiro, suspensión o licencia que justifique la diferencia. Si no existe soporte, los datos deben corregirse para que la planilla refleje las condiciones reales del periodo. La responsabilidad sobre la información suministrada mediante la PILA corresponde al aportante.</w:t>
      </w:r>
    </w:p>
    <w:p w14:paraId="2B44921D" w14:textId="77777777" w:rsidR="00612C5F" w:rsidRDefault="00000000">
      <w:r>
        <w:t>Los operadores de información facilitan la liquidación y el pago de la planilla y disponen de canales para su procesamiento. Una vez efectuado el pago, se deben conservar la planilla y el comprobante generado, debido a que estos documentos permiten acreditar los aportes realizados y facilitan las posteriores conciliaciones con la nómina y la contabilidad.</w:t>
      </w:r>
    </w:p>
    <w:p w14:paraId="00A6272C" w14:textId="77777777" w:rsidR="00612C5F" w:rsidRDefault="00000000">
      <w:r>
        <w:t>En conclusión, la PILA debe revisarse como parte del control de nómina y no únicamente como un mecanismo de pago. La correspondencia entre trabajadores, novedades, días, bases y aportes permite remitir correctamente los recursos a las administradoras y demás entidades del sistema.</w:t>
      </w:r>
    </w:p>
    <w:p w14:paraId="01398526" w14:textId="77777777" w:rsidR="00612C5F" w:rsidRDefault="00000000">
      <w:pPr>
        <w:pStyle w:val="Ttulo2"/>
      </w:pPr>
      <w:bookmarkStart w:id="18" w:name="_Toc244277547"/>
      <w:r>
        <w:t>Pagos a administradoras y demás terceros</w:t>
      </w:r>
      <w:bookmarkEnd w:id="18"/>
    </w:p>
    <w:p w14:paraId="16B5C532" w14:textId="77777777" w:rsidR="00612C5F" w:rsidRDefault="00000000">
      <w:r>
        <w:t xml:space="preserve">Los valores liquidados por concepto de seguridad social y aportes parafiscales deben ser remitidos a las entidades correspondientes mediante la PILA. El pago </w:t>
      </w:r>
      <w:r>
        <w:lastRenderedPageBreak/>
        <w:t>comprende los aportes a salud, pensión, riesgos laborales, cajas de compensación familiar, SENA e ICBF, según las obligaciones aplicables al empleador. Los plazos se determinan de acuerdo con los dos últimos dígitos del NIT o documento de identificación del aportante (Decreto 1990 de 2016).</w:t>
      </w:r>
    </w:p>
    <w:p w14:paraId="565ACB97" w14:textId="77777777" w:rsidR="00612C5F" w:rsidRDefault="00000000">
      <w:r>
        <w:t xml:space="preserve">El pago a terceros también comprende los valores retenidos por concepto de obligaciones tributarias, embargos, libranzas y otras deducciones válidamente aplicadas. Cada concepto debe conservarse separado en la nómina e identificar claramente el beneficiario, el valor, el periodo y el soporte que origina la transferencia. Los siguientes beneficiarios reciben los valores retenidos o causados durante el proceso de nómina, de acuerdo con el concepto y el procedimiento aplicable: </w:t>
      </w:r>
    </w:p>
    <w:p w14:paraId="744148CA" w14:textId="77777777" w:rsidR="00612C5F" w:rsidRDefault="00000000">
      <w:pPr>
        <w:pStyle w:val="Listaconvietas"/>
        <w:ind w:left="1134"/>
      </w:pPr>
      <w:r>
        <w:rPr>
          <w:b/>
        </w:rPr>
        <w:t>EPS.</w:t>
      </w:r>
      <w:r>
        <w:t xml:space="preserve"> Recibe los aportes a salud mediante la PILA. Antes del pago, se deben verificar la afiliación, el IBC, los días y las novedades.</w:t>
      </w:r>
    </w:p>
    <w:p w14:paraId="07926951" w14:textId="77777777" w:rsidR="00612C5F" w:rsidRDefault="00000000">
      <w:pPr>
        <w:pStyle w:val="Listaconvietas"/>
        <w:ind w:left="1134"/>
      </w:pPr>
      <w:r>
        <w:rPr>
          <w:b/>
        </w:rPr>
        <w:t>Administradora de pensiones.</w:t>
      </w:r>
      <w:r>
        <w:t xml:space="preserve"> Recibe los aportes a pensión y al Fondo de Solidaridad Pensional cuando corresponda, mediante la PILA. Se deben cotejar el IBC, la tarifa y la administradora.</w:t>
      </w:r>
    </w:p>
    <w:p w14:paraId="16DF0CB0" w14:textId="77777777" w:rsidR="00612C5F" w:rsidRDefault="00000000">
      <w:pPr>
        <w:pStyle w:val="Listaconvietas"/>
        <w:ind w:left="1134"/>
      </w:pPr>
      <w:r>
        <w:rPr>
          <w:b/>
        </w:rPr>
        <w:t>ARL.</w:t>
      </w:r>
      <w:r>
        <w:t xml:space="preserve"> Recibe los aportes a riesgos laborales mediante la PILA. Se deben confirmar la clase de riesgo, la tarifa y los días.</w:t>
      </w:r>
    </w:p>
    <w:p w14:paraId="05F681A0" w14:textId="77777777" w:rsidR="00612C5F" w:rsidRDefault="00000000">
      <w:pPr>
        <w:pStyle w:val="Listaconvietas"/>
        <w:ind w:left="1134"/>
      </w:pPr>
      <w:r>
        <w:rPr>
          <w:b/>
        </w:rPr>
        <w:t>Caja de compensación familiar.</w:t>
      </w:r>
      <w:r>
        <w:t xml:space="preserve"> Recibe el aporte parafiscal mediante la PILA. Se deben verificar la base y la entidad de afiliación.</w:t>
      </w:r>
    </w:p>
    <w:p w14:paraId="5CD787C1" w14:textId="77777777" w:rsidR="00612C5F" w:rsidRDefault="00000000">
      <w:pPr>
        <w:pStyle w:val="Listaconvietas"/>
        <w:ind w:left="1134"/>
      </w:pPr>
      <w:r>
        <w:rPr>
          <w:b/>
        </w:rPr>
        <w:t>SENA.</w:t>
      </w:r>
      <w:r>
        <w:t xml:space="preserve"> Recibe el aporte parafiscal mediante la PILA cuando exista obligación. Se deben revisar la base y la exoneración aplicable.</w:t>
      </w:r>
    </w:p>
    <w:p w14:paraId="537FCC88" w14:textId="77777777" w:rsidR="00612C5F" w:rsidRDefault="00000000">
      <w:pPr>
        <w:pStyle w:val="Listaconvietas"/>
        <w:ind w:left="1134"/>
      </w:pPr>
      <w:r>
        <w:rPr>
          <w:b/>
        </w:rPr>
        <w:t>ICBF.</w:t>
      </w:r>
      <w:r>
        <w:t xml:space="preserve"> Recibe el aporte parafiscal mediante la PILA cuando exista obligación. Se deben revisar la base y la exoneración aplicable.</w:t>
      </w:r>
    </w:p>
    <w:p w14:paraId="68D659F1" w14:textId="77777777" w:rsidR="00612C5F" w:rsidRDefault="00000000">
      <w:pPr>
        <w:pStyle w:val="Listaconvietas"/>
        <w:ind w:left="1134"/>
      </w:pPr>
      <w:r>
        <w:rPr>
          <w:b/>
        </w:rPr>
        <w:lastRenderedPageBreak/>
        <w:t>DIAN.</w:t>
      </w:r>
      <w:r>
        <w:t xml:space="preserve"> Recibe las retenciones en la fuente practicadas mediante la declaración y el pago tributario. Se deben conciliar los valores retenidos con la declaración.</w:t>
      </w:r>
    </w:p>
    <w:p w14:paraId="024558E8" w14:textId="77777777" w:rsidR="00612C5F" w:rsidRDefault="00000000">
      <w:pPr>
        <w:pStyle w:val="Listaconvietas"/>
        <w:ind w:left="1134"/>
      </w:pPr>
      <w:r>
        <w:rPr>
          <w:b/>
        </w:rPr>
        <w:t>Despacho judicial o beneficiario indicado.</w:t>
      </w:r>
      <w:r>
        <w:t xml:space="preserve"> Recibe los valores correspondientes a embargos, según el procedimiento señalado en la orden judicial. Se deben confirmar el proceso, el beneficiario y el valor retenido.</w:t>
      </w:r>
    </w:p>
    <w:p w14:paraId="39707467" w14:textId="77777777" w:rsidR="00612C5F" w:rsidRDefault="00000000">
      <w:pPr>
        <w:pStyle w:val="Listaconvietas"/>
        <w:ind w:left="1134"/>
      </w:pPr>
      <w:r>
        <w:rPr>
          <w:b/>
        </w:rPr>
        <w:t>Entidad operadora de libranza.</w:t>
      </w:r>
      <w:r>
        <w:t xml:space="preserve"> Recibe las cuotas descontadas mediante transferencia directa. Se deben verificar la autorización, el saldo y el operador.</w:t>
      </w:r>
    </w:p>
    <w:p w14:paraId="2A2E6F22" w14:textId="77777777" w:rsidR="00612C5F" w:rsidRDefault="00000000">
      <w:pPr>
        <w:pStyle w:val="Listaconvietas"/>
        <w:ind w:left="1134"/>
      </w:pPr>
      <w:r>
        <w:rPr>
          <w:b/>
        </w:rPr>
        <w:t>Otros terceros autorizados.</w:t>
      </w:r>
      <w:r>
        <w:t xml:space="preserve"> Reciben cuotas, préstamos u otros descuentos, según la autorización o el acuerdo aplicable. Se deben confirmar el beneficiario, el valor y el soporte.</w:t>
      </w:r>
    </w:p>
    <w:p w14:paraId="526A426B" w14:textId="77777777" w:rsidR="00612C5F" w:rsidRDefault="00000000">
      <w:r>
        <w:t>La identificación de cada beneficiario permite conciliar los valores previamente liquidados y aplicar el procedimiento de pago correspondiente. Los aportes a seguridad social y parafiscales se pagan mediante la PILA conforme al Decreto 1990 de 2016.</w:t>
      </w:r>
    </w:p>
    <w:p w14:paraId="5182DF42" w14:textId="77777777" w:rsidR="00612C5F" w:rsidRDefault="00000000">
      <w:r>
        <w:t>Las retenciones en la fuente practicadas sobre los pagos laborales deben ser declaradas y consignadas por el agente retenedor dentro de los lugares y plazos fijados por el Gobierno Nacional. La declaración de retenciones es mensual, por lo que los valores descontados en la nómina deben conciliarse con los registros tributarios antes de su presentación y pago (Estatuto Tributario, arts. 376 y 382).</w:t>
      </w:r>
    </w:p>
    <w:p w14:paraId="24BBBF65" w14:textId="77777777" w:rsidR="00612C5F" w:rsidRDefault="00000000">
      <w:r>
        <w:t>En las libranzas, el empleador o entidad pagadora debe trasladar a la entidad operadora las cuotas descontadas dentro de los tres días hábiles siguientes al pago realizado al trabajador. También debe verificar que la entidad operadora se encuentre inscrita en el registro correspondiente (Ley 1527 de 2012, art. 6).</w:t>
      </w:r>
    </w:p>
    <w:p w14:paraId="51AA460E" w14:textId="77777777" w:rsidR="00612C5F" w:rsidRDefault="00000000">
      <w:pPr>
        <w:pStyle w:val="Ttulo5"/>
      </w:pPr>
      <w:r>
        <w:lastRenderedPageBreak/>
        <w:t>Ejemplo aplicado</w:t>
      </w:r>
    </w:p>
    <w:p w14:paraId="0C4E620D" w14:textId="77777777" w:rsidR="00612C5F" w:rsidRDefault="00000000">
      <w:r>
        <w:t>Una empresa determina para el periodo los siguientes valores pendientes de transferencia:</w:t>
      </w:r>
    </w:p>
    <w:p w14:paraId="361453D5" w14:textId="77777777" w:rsidR="00612C5F" w:rsidRDefault="00000000">
      <w:pPr>
        <w:pStyle w:val="Listaconvietas"/>
        <w:ind w:left="1134"/>
      </w:pPr>
      <w:r>
        <w:t>Aportes de seguridad social y parafiscales mediante PILA: $8.500.000.</w:t>
      </w:r>
    </w:p>
    <w:p w14:paraId="44E0D451" w14:textId="77777777" w:rsidR="00612C5F" w:rsidRDefault="00000000">
      <w:pPr>
        <w:pStyle w:val="Listaconvietas"/>
        <w:ind w:left="1134"/>
      </w:pPr>
      <w:r>
        <w:t>Retenciones en la fuente: $1.200.000.</w:t>
      </w:r>
    </w:p>
    <w:p w14:paraId="003DFB46" w14:textId="77777777" w:rsidR="00612C5F" w:rsidRDefault="00000000">
      <w:pPr>
        <w:pStyle w:val="Listaconvietas"/>
        <w:ind w:left="1134"/>
      </w:pPr>
      <w:r>
        <w:t>Cuotas de libranza: $750.000.</w:t>
      </w:r>
    </w:p>
    <w:p w14:paraId="64DD69B8" w14:textId="77777777" w:rsidR="00612C5F" w:rsidRDefault="00000000">
      <w:pPr>
        <w:pStyle w:val="Listaconvietas"/>
        <w:ind w:left="1134"/>
      </w:pPr>
      <w:r>
        <w:t>Embargos judiciales: $400.000.</w:t>
      </w:r>
    </w:p>
    <w:p w14:paraId="1D2DA804" w14:textId="77777777" w:rsidR="00612C5F" w:rsidRDefault="00000000">
      <w:r>
        <w:t>El total de pagos a terceros se calcula así:</w:t>
      </w:r>
    </w:p>
    <w:p w14:paraId="7B936017" w14:textId="77777777" w:rsidR="00612C5F" w:rsidRDefault="00000000">
      <w:pPr>
        <w:pStyle w:val="Ttulo5"/>
      </w:pPr>
      <w:r>
        <w:t>$8.500.000 + $1.200.000 + $750.000 + $400.000 = $10.850.000</w:t>
      </w:r>
    </w:p>
    <w:p w14:paraId="5FDA4CDD" w14:textId="77777777" w:rsidR="00612C5F" w:rsidRDefault="00000000">
      <w:r>
        <w:t>Antes de efectuar las transferencias, se deben comparar estos valores con la nómina definitiva, la PILA, la declaración tributaria, las órdenes judiciales y las autorizaciones de descuento. Cada pago debe conservar su comprobante para facilitar posteriormente la conciliación entre nómina, contabilidad, bancos y terceros.</w:t>
      </w:r>
    </w:p>
    <w:p w14:paraId="54C39386" w14:textId="77777777" w:rsidR="00612C5F" w:rsidRDefault="00000000">
      <w:r>
        <w:t>En conclusión, los valores descontados o causados en la nómina no terminan con el cálculo del trabajador. Su correcta remisión a las administradoras, autoridades y demás beneficiarios permite cerrar las obligaciones del periodo y proporciona los soportes necesarios para el proceso de pago, contabilización y conciliación de la nómina.</w:t>
      </w:r>
    </w:p>
    <w:p w14:paraId="6DFF6254" w14:textId="77777777" w:rsidR="00612C5F" w:rsidRDefault="00000000">
      <w:r>
        <w:t xml:space="preserve">La correcta gestión de las deducciones y los pagos a terceros exige identificar el origen de cada descuento, aplicar las bases y tarifas correspondientes y remitir oportunamente los valores a las entidades beneficiarias. La conciliación entre nómina, </w:t>
      </w:r>
      <w:r>
        <w:lastRenderedPageBreak/>
        <w:t>PILA, retenciones, embargos, libranzas y demás obligaciones permite cerrar el periodo con información verificable y preparar el proceso de pago y contabilización.</w:t>
      </w:r>
    </w:p>
    <w:p w14:paraId="796C2ADF" w14:textId="77777777" w:rsidR="00612C5F" w:rsidRDefault="00000000">
      <w:r>
        <w:br w:type="page"/>
      </w:r>
    </w:p>
    <w:p w14:paraId="45B59EAE" w14:textId="77777777" w:rsidR="00612C5F" w:rsidRDefault="00000000">
      <w:pPr>
        <w:pStyle w:val="Ttulo1"/>
      </w:pPr>
      <w:bookmarkStart w:id="19" w:name="_Toc244277548"/>
      <w:r>
        <w:lastRenderedPageBreak/>
        <w:t>Pago, contabilización y conciliación de nómina</w:t>
      </w:r>
      <w:bookmarkEnd w:id="19"/>
    </w:p>
    <w:p w14:paraId="639541D1" w14:textId="77777777" w:rsidR="00612C5F" w:rsidRDefault="00000000">
      <w:r>
        <w:t>Una vez liquidados y revisados los devengados, las deducciones y los pagos a terceros, la nómina debe pasar por un proceso de aprobación antes de generar los pagos y registros definitivos. Esta etapa busca comprobar que los valores correspondan con la información previamente validada y que exista coherencia entre la nómina, los soportes, la PILA, los archivos de pago y los registros que posteriormente serán incorporados a la contabilidad.</w:t>
      </w:r>
    </w:p>
    <w:p w14:paraId="700AC923" w14:textId="77777777" w:rsidR="00612C5F" w:rsidRDefault="00000000">
      <w:r>
        <w:t xml:space="preserve">El proceso también debe conservar la trazabilidad de las operaciones realizadas y proteger la información de los trabajadores. Los datos personales contenidos en la nómina deben manejarse mediante medidas técnicas, humanas y administrativas que eviten su pérdida, adulteración, consulta o acceso no autorizado, y las personas que intervienen en su tratamiento deben mantener la confidencialidad de la información. </w:t>
      </w:r>
    </w:p>
    <w:p w14:paraId="68D3383A" w14:textId="77777777" w:rsidR="00612C5F" w:rsidRDefault="00000000">
      <w:pPr>
        <w:pStyle w:val="Ttulo2"/>
      </w:pPr>
      <w:bookmarkStart w:id="20" w:name="_Toc244277549"/>
      <w:r>
        <w:t>Revisión, autorización y aprobación de la nómina</w:t>
      </w:r>
      <w:bookmarkEnd w:id="20"/>
    </w:p>
    <w:p w14:paraId="0A20F44C" w14:textId="77777777" w:rsidR="00612C5F" w:rsidRDefault="00000000">
      <w:r>
        <w:t>La revisión de la nómina consiste en comprobar que los datos y valores procesados correspondan con el periodo, los trabajadores, las novedades y los soportes previamente validados. Antes de autorizar el pago, se deben comparar los devengados, las deducciones, el neto por pagar y las obligaciones con terceros, prestando especial atención a las diferencias detectadas durante la prenómina.</w:t>
      </w:r>
    </w:p>
    <w:p w14:paraId="2D48B850" w14:textId="77777777" w:rsidR="00612C5F" w:rsidRDefault="00000000">
      <w:r>
        <w:t xml:space="preserve">La autorización debe realizarse conforme a los niveles de responsabilidad definidos por la organización. Es conveniente que el registro de novedades, la revisión de los cálculos, la aprobación y la ejecución del pago puedan ser verificados por responsables diferentes, especialmente cuando el volumen de la nómina o la estructura </w:t>
      </w:r>
      <w:r>
        <w:lastRenderedPageBreak/>
        <w:t>organizacional lo permitan. Este control facilita identificar modificaciones no justificadas y conservar evidencia de quién revisó y aprobó cada etapa.</w:t>
      </w:r>
    </w:p>
    <w:p w14:paraId="59D3B173" w14:textId="77777777" w:rsidR="00612C5F" w:rsidRDefault="00000000">
      <w:r>
        <w:t>El valor aprobado debe coincidir con el monto que posteriormente se ordenará pagar. El Código Sustantivo del Trabajo establece que el salario en dinero debe pagarse por periodos iguales y vencidos, mientras que las horas extras y los recargos nocturnos deben pagarse con el salario del periodo en que se causaron o, a más tardar, con el salario del periodo siguiente (Código Sustantivo del Trabajo, 1950, art. 134). Los siguientes controles permiten comprobar la información antes de autorizar el pago definitivo:</w:t>
      </w:r>
    </w:p>
    <w:p w14:paraId="294B6132" w14:textId="77777777" w:rsidR="00612C5F" w:rsidRDefault="00000000">
      <w:pPr>
        <w:pStyle w:val="Listaconvietas"/>
        <w:ind w:left="1134"/>
      </w:pPr>
      <w:r>
        <w:rPr>
          <w:b/>
        </w:rPr>
        <w:t>Periodo.</w:t>
      </w:r>
      <w:r>
        <w:t xml:space="preserve"> Se deben confirmar las fechas de inicio, cierre y pago, de acuerdo con el calendario de nómina establecido por la organización.</w:t>
      </w:r>
    </w:p>
    <w:p w14:paraId="4BDC7B87" w14:textId="77777777" w:rsidR="00612C5F" w:rsidRDefault="00000000">
      <w:pPr>
        <w:pStyle w:val="Listaconvietas"/>
        <w:ind w:left="1134"/>
      </w:pPr>
      <w:r>
        <w:rPr>
          <w:b/>
        </w:rPr>
        <w:t>Trabajadores.</w:t>
      </w:r>
      <w:r>
        <w:t xml:space="preserve"> Se deben verificar los trabajadores activos, los ingresos y los retiros, con base en los reportes de personal y los contratos correspondientes.</w:t>
      </w:r>
    </w:p>
    <w:p w14:paraId="647BC501" w14:textId="77777777" w:rsidR="00612C5F" w:rsidRDefault="00000000">
      <w:pPr>
        <w:pStyle w:val="Listaconvietas"/>
        <w:ind w:left="1134"/>
      </w:pPr>
      <w:r>
        <w:rPr>
          <w:b/>
        </w:rPr>
        <w:t>Devengados.</w:t>
      </w:r>
      <w:r>
        <w:t xml:space="preserve"> Se deben cotejar los salarios, los conceptos variables y las novedades con la prenómina y sus respectivos soportes.</w:t>
      </w:r>
    </w:p>
    <w:p w14:paraId="7B41A4D5" w14:textId="77777777" w:rsidR="00612C5F" w:rsidRDefault="00000000">
      <w:pPr>
        <w:pStyle w:val="Listaconvietas"/>
        <w:ind w:left="1134"/>
      </w:pPr>
      <w:r>
        <w:rPr>
          <w:b/>
        </w:rPr>
        <w:t>Deducciones.</w:t>
      </w:r>
      <w:r>
        <w:t xml:space="preserve"> Se deben confirmar los descuentos aplicados y las autorizaciones correspondientes, mediante las órdenes, autorizaciones y registros disponibles.</w:t>
      </w:r>
    </w:p>
    <w:p w14:paraId="205D67AE" w14:textId="77777777" w:rsidR="00612C5F" w:rsidRDefault="00000000">
      <w:pPr>
        <w:pStyle w:val="Listaconvietas"/>
        <w:ind w:left="1134"/>
      </w:pPr>
      <w:r>
        <w:rPr>
          <w:b/>
        </w:rPr>
        <w:t>Seguridad social.</w:t>
      </w:r>
      <w:r>
        <w:t xml:space="preserve"> Se deben comparar las bases, los días y los aportes con la PILA preliminar, con el fin de identificar posibles diferencias.</w:t>
      </w:r>
    </w:p>
    <w:p w14:paraId="3A5F520E" w14:textId="77777777" w:rsidR="00612C5F" w:rsidRDefault="00000000">
      <w:pPr>
        <w:pStyle w:val="Listaconvietas"/>
        <w:ind w:left="1134"/>
      </w:pPr>
      <w:r>
        <w:rPr>
          <w:b/>
        </w:rPr>
        <w:t>Neto por pagar.</w:t>
      </w:r>
      <w:r>
        <w:t xml:space="preserve"> Se debe comprobar la operación entre el total devengado y las deducciones, y cotejar el resultado con el reporte de nómina.</w:t>
      </w:r>
    </w:p>
    <w:p w14:paraId="75DBC6BD" w14:textId="77777777" w:rsidR="00612C5F" w:rsidRDefault="00000000">
      <w:pPr>
        <w:pStyle w:val="Listaconvietas"/>
        <w:ind w:left="1134"/>
      </w:pPr>
      <w:r>
        <w:rPr>
          <w:b/>
        </w:rPr>
        <w:lastRenderedPageBreak/>
        <w:t>Valores atípicos.</w:t>
      </w:r>
      <w:r>
        <w:t xml:space="preserve"> Se deben analizar incrementos o disminuciones significativas mediante los reportes de excepciones o comparaciones con periodos anteriores.</w:t>
      </w:r>
    </w:p>
    <w:p w14:paraId="0B6430D5" w14:textId="77777777" w:rsidR="00612C5F" w:rsidRDefault="00000000">
      <w:pPr>
        <w:pStyle w:val="Listaconvietas"/>
        <w:ind w:left="1134"/>
      </w:pPr>
      <w:r>
        <w:rPr>
          <w:b/>
        </w:rPr>
        <w:t>Datos bancarios.</w:t>
      </w:r>
      <w:r>
        <w:t xml:space="preserve"> Se deben confirmar las cuentas de los trabajadores y los cambios recientes, con base en certificaciones o registros bancarios validados.</w:t>
      </w:r>
    </w:p>
    <w:p w14:paraId="1DB20BB6" w14:textId="77777777" w:rsidR="00612C5F" w:rsidRDefault="00000000">
      <w:pPr>
        <w:pStyle w:val="Listaconvietas"/>
        <w:ind w:left="1134"/>
      </w:pPr>
      <w:r>
        <w:rPr>
          <w:b/>
        </w:rPr>
        <w:t>Totales.</w:t>
      </w:r>
      <w:r>
        <w:t xml:space="preserve"> Se deben comparar los valores individuales y generales con el resumen de nómina para comprobar su consistencia.</w:t>
      </w:r>
    </w:p>
    <w:p w14:paraId="5277FEA9" w14:textId="77777777" w:rsidR="00612C5F" w:rsidRDefault="00000000">
      <w:pPr>
        <w:pStyle w:val="Listaconvietas"/>
        <w:ind w:left="1134"/>
      </w:pPr>
      <w:r>
        <w:rPr>
          <w:b/>
        </w:rPr>
        <w:t>Aprobación.</w:t>
      </w:r>
      <w:r>
        <w:t xml:space="preserve"> Se deben registrar el responsable y la fecha de autorización mediante firma, flujo electrónico o registro del sistema.</w:t>
      </w:r>
    </w:p>
    <w:p w14:paraId="6071866A" w14:textId="77777777" w:rsidR="00612C5F" w:rsidRDefault="00000000">
      <w:r>
        <w:t>La aplicación conjunta de estos controles permite sustentar la autorización de la nómina y conservar evidencia de la revisión efectuada.</w:t>
      </w:r>
    </w:p>
    <w:p w14:paraId="7E3E755C" w14:textId="77777777" w:rsidR="00612C5F" w:rsidRDefault="00000000">
      <w:pPr>
        <w:pStyle w:val="Ttulo5"/>
      </w:pPr>
      <w:r>
        <w:t>Ejemplo aplicado</w:t>
      </w:r>
    </w:p>
    <w:p w14:paraId="3D2936FE" w14:textId="77777777" w:rsidR="00612C5F" w:rsidRDefault="00000000">
      <w:r>
        <w:t>Una empresa genera una nómina con un neto total de $86.500.000. Durante la revisión, se identifica que un trabajador presenta una comisión duplicada por $450.000. Antes de autorizar el pago, el valor debe corregirse y generarse nuevamente el total de la nómina:</w:t>
      </w:r>
    </w:p>
    <w:p w14:paraId="712F8FC1" w14:textId="77777777" w:rsidR="00612C5F" w:rsidRDefault="00000000">
      <w:pPr>
        <w:pStyle w:val="Ttulo5"/>
      </w:pPr>
      <w:r>
        <w:t>$86.500.000 - $450.000 = $86.050.000</w:t>
      </w:r>
    </w:p>
    <w:p w14:paraId="48AAC504" w14:textId="77777777" w:rsidR="00612C5F" w:rsidRDefault="00000000">
      <w:r>
        <w:t>El nuevo valor de $86.050.000 debe coincidir con el archivo que será remitido para pago y con los registros utilizados posteriormente en la contabilidad. La corrección debe quedar respaldada con la evidencia de la novedad, el cambio efectuado y la aprobación correspondiente.</w:t>
      </w:r>
    </w:p>
    <w:p w14:paraId="5A55057D" w14:textId="77777777" w:rsidR="00612C5F" w:rsidRDefault="00000000">
      <w:r>
        <w:lastRenderedPageBreak/>
        <w:t>La autorización definitiva confirma que los valores han superado los controles previstos y pueden pasar a la etapa de pago. Esta revisión disminuye el riesgo de transferir valores incorrectos y facilita la posterior generación de comprobantes, registros contables y conciliaciones.</w:t>
      </w:r>
    </w:p>
    <w:p w14:paraId="0AC080DA" w14:textId="77777777" w:rsidR="00612C5F" w:rsidRDefault="00000000">
      <w:pPr>
        <w:pStyle w:val="Ttulo2"/>
      </w:pPr>
      <w:bookmarkStart w:id="21" w:name="_Toc244277550"/>
      <w:r>
        <w:t>Medios de pago y generación de comprobantes</w:t>
      </w:r>
      <w:bookmarkEnd w:id="21"/>
    </w:p>
    <w:p w14:paraId="161BE904" w14:textId="77777777" w:rsidR="00612C5F" w:rsidRDefault="00000000">
      <w:r>
        <w:t>El pago del salario debe realizarse directamente al trabajador o a la persona que este autorice por escrito. Salvo acuerdo diferente, debe efectuarse en el lugar donde presta sus servicios, durante la jornada o inmediatamente después de finalizarla. Estas disposiciones permiten utilizar medios como transferencia bancaria, depósito u otros mecanismos acordados, siempre que el pago pueda identificarse y verificarse (Código Sustantivo del Trabajo, 1950, arts. 138 y 139).</w:t>
      </w:r>
    </w:p>
    <w:p w14:paraId="47C6EC4F" w14:textId="77777777" w:rsidR="00612C5F" w:rsidRDefault="00000000">
      <w:r>
        <w:t xml:space="preserve">Antes de generar la orden de pago, el valor neto aprobado debe compararse con la información que será enviada a la entidad financiera o utilizada para realizar el desembolso. La identificación del trabajador, la cuenta de destino y el valor deben coincidir con la nómina definitiva, evitando que modificaciones posteriores alteren los valores previamente autorizados. Los siguientes controles permiten relacionar el beneficiario, el medio de pago y los soportes generados durante el desembolso: </w:t>
      </w:r>
    </w:p>
    <w:p w14:paraId="356472D5" w14:textId="77777777" w:rsidR="00612C5F" w:rsidRDefault="00000000">
      <w:pPr>
        <w:pStyle w:val="Listaconvietas"/>
        <w:ind w:left="1134"/>
      </w:pPr>
      <w:r>
        <w:rPr>
          <w:b/>
        </w:rPr>
        <w:t>Beneficiario.</w:t>
      </w:r>
      <w:r>
        <w:t xml:space="preserve"> Se debe confirmar la identificación del trabajador con base en la nómina aprobada y el documento de identificación.</w:t>
      </w:r>
    </w:p>
    <w:p w14:paraId="699630F0" w14:textId="77777777" w:rsidR="00612C5F" w:rsidRDefault="00000000">
      <w:pPr>
        <w:pStyle w:val="Listaconvietas"/>
        <w:ind w:left="1134"/>
      </w:pPr>
      <w:r>
        <w:rPr>
          <w:b/>
        </w:rPr>
        <w:t>Cuenta bancaria.</w:t>
      </w:r>
      <w:r>
        <w:t xml:space="preserve"> Se deben verificar la entidad financiera, el tipo y el número de cuenta mediante la certificación o el registro bancario validado.</w:t>
      </w:r>
    </w:p>
    <w:p w14:paraId="41E0660B" w14:textId="77777777" w:rsidR="00612C5F" w:rsidRDefault="00000000">
      <w:pPr>
        <w:pStyle w:val="Listaconvietas"/>
        <w:ind w:left="1134"/>
      </w:pPr>
      <w:r>
        <w:rPr>
          <w:b/>
        </w:rPr>
        <w:t>Valor neto.</w:t>
      </w:r>
      <w:r>
        <w:t xml:space="preserve"> Se debe comparar el valor que será desembolsado con el registrado en la nómina definitiva.</w:t>
      </w:r>
    </w:p>
    <w:p w14:paraId="58B77B54" w14:textId="77777777" w:rsidR="00612C5F" w:rsidRDefault="00000000">
      <w:pPr>
        <w:pStyle w:val="Listaconvietas"/>
        <w:ind w:left="1134"/>
      </w:pPr>
      <w:r>
        <w:rPr>
          <w:b/>
        </w:rPr>
        <w:lastRenderedPageBreak/>
        <w:t>Archivo bancario.</w:t>
      </w:r>
      <w:r>
        <w:t xml:space="preserve"> Se deben cotejar la cantidad de trabajadores y los valores incluidos en el archivo de dispersión con la nómina aprobada.</w:t>
      </w:r>
    </w:p>
    <w:p w14:paraId="12031C5C" w14:textId="77777777" w:rsidR="00612C5F" w:rsidRDefault="00000000">
      <w:pPr>
        <w:pStyle w:val="Listaconvietas"/>
        <w:ind w:left="1134"/>
      </w:pPr>
      <w:r>
        <w:rPr>
          <w:b/>
        </w:rPr>
        <w:t>Pago en efectivo.</w:t>
      </w:r>
      <w:r>
        <w:t xml:space="preserve"> Cuando proceda, se deben registrar el valor entregado y la identificación del receptor mediante un comprobante firmado.</w:t>
      </w:r>
    </w:p>
    <w:p w14:paraId="1C63BCE8" w14:textId="77777777" w:rsidR="00612C5F" w:rsidRDefault="00000000">
      <w:pPr>
        <w:pStyle w:val="Listaconvietas"/>
        <w:ind w:left="1134"/>
      </w:pPr>
      <w:r>
        <w:rPr>
          <w:b/>
        </w:rPr>
        <w:t>Pago rechazado.</w:t>
      </w:r>
      <w:r>
        <w:t xml:space="preserve"> Se debe identificar la causa del rechazo y efectuar el seguimiento correspondiente mediante el reporte emitido por la entidad financiera.</w:t>
      </w:r>
    </w:p>
    <w:p w14:paraId="3952CEB2" w14:textId="77777777" w:rsidR="00612C5F" w:rsidRDefault="00000000">
      <w:pPr>
        <w:pStyle w:val="Listaconvietas"/>
        <w:ind w:left="1134"/>
      </w:pPr>
      <w:r>
        <w:rPr>
          <w:b/>
        </w:rPr>
        <w:t>Fecha de pago.</w:t>
      </w:r>
      <w:r>
        <w:t xml:space="preserve"> Se debe comprobar que el desembolso cumpla con el periodo establecido en el calendario de nómina.</w:t>
      </w:r>
    </w:p>
    <w:p w14:paraId="38D06845" w14:textId="77777777" w:rsidR="00612C5F" w:rsidRDefault="00000000">
      <w:pPr>
        <w:pStyle w:val="Listaconvietas"/>
        <w:ind w:left="1134"/>
      </w:pPr>
      <w:r>
        <w:rPr>
          <w:b/>
        </w:rPr>
        <w:t>Comprobante individual.</w:t>
      </w:r>
      <w:r>
        <w:t xml:space="preserve"> Debe contener los devengados, las deducciones y el valor neto correspondiente al trabajador.</w:t>
      </w:r>
    </w:p>
    <w:p w14:paraId="2E3CDE3B" w14:textId="77777777" w:rsidR="00612C5F" w:rsidRDefault="00000000">
      <w:pPr>
        <w:pStyle w:val="Listaconvietas"/>
        <w:ind w:left="1134"/>
      </w:pPr>
      <w:r>
        <w:rPr>
          <w:b/>
        </w:rPr>
        <w:t>Evidencia del desembolso.</w:t>
      </w:r>
      <w:r>
        <w:t xml:space="preserve"> Se debe confirmar que la operación fue procesada mediante extracto, reporte bancario o comprobante de la transacción.</w:t>
      </w:r>
    </w:p>
    <w:p w14:paraId="70265BFE" w14:textId="77777777" w:rsidR="00612C5F" w:rsidRDefault="00000000">
      <w:r>
        <w:t>Estos controles permiten relacionar el valor liquidado con el beneficiario, el medio utilizado y la evidencia del pago.</w:t>
      </w:r>
    </w:p>
    <w:p w14:paraId="0AA401F5" w14:textId="77777777" w:rsidR="00612C5F" w:rsidRDefault="00000000">
      <w:pPr>
        <w:pStyle w:val="Ttulo3"/>
      </w:pPr>
      <w:r>
        <w:t>Comprobante de pago</w:t>
      </w:r>
    </w:p>
    <w:p w14:paraId="50EBD005" w14:textId="77777777" w:rsidR="00612C5F" w:rsidRDefault="00000000">
      <w:r>
        <w:t xml:space="preserve"> El comprobante individual facilita al trabajador identificar los valores reconocidos y descontados durante el periodo. Como control, puede incluir el periodo liquidado, el salario, los devengados variables, las deducciones, los aportes descontados y el valor neto pagado. Esta información también facilita resolver diferencias y conciliar posteriormente los valores con los registros contables y bancarios.</w:t>
      </w:r>
    </w:p>
    <w:p w14:paraId="01983C9E" w14:textId="77777777" w:rsidR="00612C5F" w:rsidRDefault="00000000">
      <w:r>
        <w:lastRenderedPageBreak/>
        <w:t>Cuando el empleador se encuentra obligado a generar el documento soporte de pago de nómina electrónica, debe reportar individualmente los valores devengados, deducidos y la diferencia resultante. Este documento tiene finalidad tributaria y debe generarse mensualmente para respaldar los costos y deducciones derivados de la relación laboral (DIAN).</w:t>
      </w:r>
    </w:p>
    <w:p w14:paraId="485A22FC" w14:textId="77777777" w:rsidR="00612C5F" w:rsidRDefault="00000000">
      <w:pPr>
        <w:pStyle w:val="Ttulo5"/>
      </w:pPr>
      <w:r>
        <w:t>Ejemplo aplicado</w:t>
      </w:r>
    </w:p>
    <w:p w14:paraId="44FCF01E" w14:textId="77777777" w:rsidR="00612C5F" w:rsidRDefault="00000000">
      <w:r>
        <w:t>Una empresa aprueba la nómina de 20 trabajadores por un valor neto total de $48.600.000. Al generar el archivo bancario, el sistema arroja un total de $48.450.000. La diferencia se determina así:</w:t>
      </w:r>
    </w:p>
    <w:p w14:paraId="36949AA5" w14:textId="77777777" w:rsidR="00612C5F" w:rsidRDefault="00000000">
      <w:pPr>
        <w:pStyle w:val="Ttulo5"/>
      </w:pPr>
      <w:r>
        <w:t>$48.600.000 - $48.450.000 = $150.000</w:t>
      </w:r>
    </w:p>
    <w:p w14:paraId="7DFD8D6B" w14:textId="77777777" w:rsidR="00612C5F" w:rsidRDefault="00000000">
      <w:r>
        <w:t>Antes de efectuar la transferencia, se debe comparar el archivo trabajador por trabajador para identificar el valor faltante. Una vez corregida la diferencia, el total del archivo bancario debe coincidir con el neto de la nómina aprobada.</w:t>
      </w:r>
    </w:p>
    <w:p w14:paraId="03274E24" w14:textId="77777777" w:rsidR="00612C5F" w:rsidRDefault="00000000">
      <w:r>
        <w:t>El pago se considera correctamente soportado cuando puede relacionarse el valor liquidado con el beneficiario, el medio utilizado y la evidencia de la operación. Estos soportes proporcionan la información necesaria para continuar con la contabilización de los gastos, las obligaciones y las provisiones de nómina.</w:t>
      </w:r>
    </w:p>
    <w:p w14:paraId="15ED6FC1" w14:textId="77777777" w:rsidR="00612C5F" w:rsidRDefault="00000000">
      <w:pPr>
        <w:pStyle w:val="Ttulo2"/>
      </w:pPr>
      <w:bookmarkStart w:id="22" w:name="_Toc244277551"/>
      <w:r>
        <w:t>Contabilización de gastos, obligaciones y provisiones</w:t>
      </w:r>
      <w:bookmarkEnd w:id="22"/>
    </w:p>
    <w:p w14:paraId="50E50D31" w14:textId="77777777" w:rsidR="00612C5F" w:rsidRDefault="00000000">
      <w:r>
        <w:t xml:space="preserve">La contabilización de la nómina permite reconocer los gastos derivados de los servicios prestados por los trabajadores y las obligaciones pendientes de pago. El marco contable colombiano establece que los beneficios a los empleados deben reconocerse como un pasivo cuando existe una obligación de pago y como un gasto cuando la </w:t>
      </w:r>
      <w:r>
        <w:lastRenderedPageBreak/>
        <w:t>entidad consume el servicio prestado por el trabajador, salvo que otra norma permita incorporarlo al costo de un activo (Decreto 2420 de 2015, anexos 1 y 2).</w:t>
      </w:r>
    </w:p>
    <w:p w14:paraId="7E37E59E" w14:textId="77777777" w:rsidR="00612C5F" w:rsidRDefault="00000000">
      <w:r>
        <w:t>Los salarios, aportes a seguridad social, vacaciones y demás beneficios causados deben registrarse en el periodo en que el trabajador presta el servicio, aunque algunos valores se paguen posteriormente. De esta manera, la contabilidad refleja tanto el gasto del periodo como las obligaciones pendientes con trabajadores, administradoras y otros terceros (Decreto 2420 de 2015, Anexo 2).</w:t>
      </w:r>
    </w:p>
    <w:p w14:paraId="4170CFEA" w14:textId="77777777" w:rsidR="00612C5F" w:rsidRDefault="00000000">
      <w:r>
        <w:t xml:space="preserve">En la práctica de nómina suele utilizarse la expresión provisión para referirse al reconocimiento periódico de vacaciones y prestaciones sociales causadas. Contablemente, estos valores corresponden a beneficios a los empleados y deben reconocerse conforme al marco técnico aplicable a la entidad. Los beneficios de corto plazo comprenden, entre otros, salarios, aportes a seguridad social y ausencias remuneradas que se espera liquidar dentro de los doce meses siguientes. </w:t>
      </w:r>
    </w:p>
    <w:p w14:paraId="1FE5250B" w14:textId="77777777" w:rsidR="00612C5F" w:rsidRDefault="00000000">
      <w:r>
        <w:t xml:space="preserve">Los siguientes conceptos permiten relacionar los valores liquidados con su reconocimiento general y con las obligaciones que deben registrarse: </w:t>
      </w:r>
    </w:p>
    <w:p w14:paraId="34CAD317" w14:textId="77777777" w:rsidR="00612C5F" w:rsidRDefault="00000000">
      <w:pPr>
        <w:pStyle w:val="Listaconvietas"/>
        <w:ind w:left="1134"/>
      </w:pPr>
      <w:r>
        <w:rPr>
          <w:b/>
        </w:rPr>
        <w:t>Salarios y remuneraciones.</w:t>
      </w:r>
      <w:r>
        <w:t xml:space="preserve"> Se reconocen como gasto por beneficios a empleados y generan una obligación por el valor neto pendiente de pago al trabajador.</w:t>
      </w:r>
    </w:p>
    <w:p w14:paraId="6410E6C1" w14:textId="77777777" w:rsidR="00612C5F" w:rsidRDefault="00000000">
      <w:pPr>
        <w:pStyle w:val="Listaconvietas"/>
        <w:ind w:left="1134"/>
      </w:pPr>
      <w:r>
        <w:rPr>
          <w:b/>
        </w:rPr>
        <w:t>Aportes del trabajador.</w:t>
      </w:r>
      <w:r>
        <w:t xml:space="preserve"> Corresponden a valores descontados de la nómina y generan una cuenta por pagar a las administradoras correspondientes.</w:t>
      </w:r>
    </w:p>
    <w:p w14:paraId="77716C4D" w14:textId="77777777" w:rsidR="00612C5F" w:rsidRDefault="00000000">
      <w:pPr>
        <w:pStyle w:val="Listaconvietas"/>
        <w:ind w:left="1134"/>
      </w:pPr>
      <w:r>
        <w:rPr>
          <w:b/>
        </w:rPr>
        <w:t>Aportes del empleador.</w:t>
      </w:r>
      <w:r>
        <w:t xml:space="preserve"> Se reconocen como gasto de seguridad social o beneficio laboral y generan una cuenta por pagar a las administradoras.</w:t>
      </w:r>
    </w:p>
    <w:p w14:paraId="5554BF48" w14:textId="77777777" w:rsidR="00612C5F" w:rsidRDefault="00000000">
      <w:pPr>
        <w:pStyle w:val="Listaconvietas"/>
        <w:ind w:left="1134"/>
      </w:pPr>
      <w:r>
        <w:rPr>
          <w:b/>
        </w:rPr>
        <w:lastRenderedPageBreak/>
        <w:t>Aportes parafiscales.</w:t>
      </w:r>
      <w:r>
        <w:t xml:space="preserve"> Se reconocen como el gasto correspondiente y generan una cuenta por pagar a las entidades beneficiarias.</w:t>
      </w:r>
    </w:p>
    <w:p w14:paraId="2F3B09FE" w14:textId="77777777" w:rsidR="00612C5F" w:rsidRDefault="00000000">
      <w:pPr>
        <w:pStyle w:val="Listaconvietas"/>
        <w:ind w:left="1134"/>
      </w:pPr>
      <w:r>
        <w:rPr>
          <w:b/>
        </w:rPr>
        <w:t>Prima de servicios.</w:t>
      </w:r>
      <w:r>
        <w:t xml:space="preserve"> Se reconoce como gasto causado durante el periodo y como un beneficio a empleados pendiente de pago.</w:t>
      </w:r>
    </w:p>
    <w:p w14:paraId="06FB3124" w14:textId="77777777" w:rsidR="00612C5F" w:rsidRDefault="00000000">
      <w:pPr>
        <w:pStyle w:val="Listaconvietas"/>
        <w:ind w:left="1134"/>
      </w:pPr>
      <w:r>
        <w:rPr>
          <w:b/>
        </w:rPr>
        <w:t>Cesantías.</w:t>
      </w:r>
      <w:r>
        <w:t xml:space="preserve"> Se reconocen como gasto causado durante el periodo y como un beneficio a empleados pendiente de pago o consignación.</w:t>
      </w:r>
    </w:p>
    <w:p w14:paraId="6D98D9B6" w14:textId="77777777" w:rsidR="00612C5F" w:rsidRDefault="00000000">
      <w:pPr>
        <w:pStyle w:val="Listaconvietas"/>
        <w:ind w:left="1134"/>
      </w:pPr>
      <w:r>
        <w:rPr>
          <w:b/>
        </w:rPr>
        <w:t>Intereses sobre cesantías.</w:t>
      </w:r>
      <w:r>
        <w:t xml:space="preserve"> Se reconocen como gasto causado y generan una obligación pendiente de pago al trabajador.</w:t>
      </w:r>
    </w:p>
    <w:p w14:paraId="1BE51EB2" w14:textId="77777777" w:rsidR="00612C5F" w:rsidRDefault="00000000">
      <w:pPr>
        <w:pStyle w:val="Listaconvietas"/>
        <w:ind w:left="1134"/>
      </w:pPr>
      <w:r>
        <w:rPr>
          <w:b/>
        </w:rPr>
        <w:t>Vacaciones.</w:t>
      </w:r>
      <w:r>
        <w:t xml:space="preserve"> Se reconocen como gasto conforme se causa el derecho y generan un beneficio a empleados pendiente de disfrute o pago.</w:t>
      </w:r>
    </w:p>
    <w:p w14:paraId="3FD744A4" w14:textId="77777777" w:rsidR="00612C5F" w:rsidRDefault="00000000">
      <w:pPr>
        <w:pStyle w:val="Listaconvietas"/>
        <w:ind w:left="1134"/>
      </w:pPr>
      <w:r>
        <w:rPr>
          <w:b/>
        </w:rPr>
        <w:t>Retenciones y deducciones.</w:t>
      </w:r>
      <w:r>
        <w:t xml:space="preserve"> No constituyen un gasto adicional de nómina. Corresponden a valores retenidos que generan una cuenta por pagar al tercero beneficiario.</w:t>
      </w:r>
    </w:p>
    <w:p w14:paraId="40712756" w14:textId="77777777" w:rsidR="00612C5F" w:rsidRDefault="00000000">
      <w:pPr>
        <w:pStyle w:val="Listaconvietas"/>
        <w:ind w:left="1134"/>
      </w:pPr>
      <w:r>
        <w:rPr>
          <w:b/>
        </w:rPr>
        <w:t>Pago de nómina.</w:t>
      </w:r>
      <w:r>
        <w:t xml:space="preserve"> Cancela la obligación previamente reconocida y genera una disminución de los recursos en bancos y de las cuentas por pagar.</w:t>
      </w:r>
    </w:p>
    <w:p w14:paraId="4FFEED53" w14:textId="77777777" w:rsidR="00612C5F" w:rsidRDefault="00000000">
      <w:r>
        <w:t>La denominación y codificación de las cuentas depende del marco contable, las políticas y el plan de cuentas utilizado por cada organización. El reconocimiento debe atender a la NIC 19 y a la Sección 28 del marco técnico compilado por el Decreto 2420 de 2015.</w:t>
      </w:r>
    </w:p>
    <w:p w14:paraId="01E37641" w14:textId="77777777" w:rsidR="00612C5F" w:rsidRDefault="00000000">
      <w:pPr>
        <w:pStyle w:val="Ttulo5"/>
      </w:pPr>
      <w:r>
        <w:t>Ejemplo aplicado</w:t>
      </w:r>
    </w:p>
    <w:p w14:paraId="0E3C3AB6" w14:textId="77777777" w:rsidR="00612C5F" w:rsidRDefault="00000000">
      <w:r>
        <w:t>Una empresa presenta los siguientes valores en su nómina:</w:t>
      </w:r>
    </w:p>
    <w:p w14:paraId="37A51A35" w14:textId="77777777" w:rsidR="00612C5F" w:rsidRDefault="00000000">
      <w:pPr>
        <w:pStyle w:val="Listaconvietas"/>
        <w:ind w:left="1134"/>
      </w:pPr>
      <w:r>
        <w:t xml:space="preserve">Salarios y demás devengados: $20.000.000. </w:t>
      </w:r>
    </w:p>
    <w:p w14:paraId="53EB35AD" w14:textId="77777777" w:rsidR="00612C5F" w:rsidRDefault="00000000">
      <w:pPr>
        <w:pStyle w:val="Listaconvietas"/>
        <w:ind w:left="1134"/>
      </w:pPr>
      <w:r>
        <w:t xml:space="preserve">Deducciones a los trabajadores: $2.500.000. </w:t>
      </w:r>
    </w:p>
    <w:p w14:paraId="01770033" w14:textId="77777777" w:rsidR="00612C5F" w:rsidRDefault="00000000">
      <w:pPr>
        <w:pStyle w:val="Listaconvietas"/>
        <w:ind w:left="1134"/>
      </w:pPr>
      <w:r>
        <w:lastRenderedPageBreak/>
        <w:t xml:space="preserve">Aportes y obligaciones a cargo del empleador: $4.000.000. </w:t>
      </w:r>
    </w:p>
    <w:p w14:paraId="4D4F498B" w14:textId="77777777" w:rsidR="00612C5F" w:rsidRDefault="00000000">
      <w:r>
        <w:t>El neto por pagar a los trabajadores se determina así:</w:t>
      </w:r>
    </w:p>
    <w:p w14:paraId="75C528FE" w14:textId="77777777" w:rsidR="00612C5F" w:rsidRDefault="00000000">
      <w:pPr>
        <w:pStyle w:val="Ttulo5"/>
      </w:pPr>
      <w:r>
        <w:t>$20.000.000 - $2.500.000 = $17.500.000</w:t>
      </w:r>
    </w:p>
    <w:p w14:paraId="27C2993A" w14:textId="77777777" w:rsidR="00612C5F" w:rsidRDefault="00000000">
      <w:r>
        <w:t>De manera general, el registro reconoce el gasto correspondiente a los beneficios causados, las obligaciones con los trabajadores por $17.500.000, las obligaciones con terceros derivadas de los descuentos por $2.500.000 y los aportes patronales por $4.000.000. Cuando posteriormente se realizan los pagos, se disminuyen las cuentas por pagar y los recursos disponibles en bancos.</w:t>
      </w:r>
    </w:p>
    <w:p w14:paraId="6F7D10C5" w14:textId="77777777" w:rsidR="00612C5F" w:rsidRDefault="00000000">
      <w:r>
        <w:t>Antes de contabilizar, los valores deben coincidir con la nómina aprobada, la PILA y los demás soportes del periodo. Esta verificación facilita que los gastos y obligaciones registrados puedan ser conciliados posteriormente con los pagos realizados y con los saldos contables.</w:t>
      </w:r>
    </w:p>
    <w:p w14:paraId="2BF95971" w14:textId="77777777" w:rsidR="00612C5F" w:rsidRDefault="00000000">
      <w:pPr>
        <w:pStyle w:val="Ttulo2"/>
      </w:pPr>
      <w:bookmarkStart w:id="23" w:name="_Toc244277552"/>
      <w:r>
        <w:t>Conciliación entre nómina, PILA, contabilidad y bancos</w:t>
      </w:r>
      <w:bookmarkEnd w:id="23"/>
    </w:p>
    <w:p w14:paraId="17E911E7" w14:textId="77777777" w:rsidR="00612C5F" w:rsidRDefault="00000000">
      <w:r>
        <w:t>La conciliación consiste en comparar los valores generados en la nómina con los reportados y registrados en los demás procesos asociados. Su propósito es comprobar que los devengados, las deducciones, los aportes, las obligaciones y los pagos correspondan al mismo periodo y que las diferencias identificadas tengan una explicación y un soporte.</w:t>
      </w:r>
    </w:p>
    <w:p w14:paraId="63609A31" w14:textId="77777777" w:rsidR="00612C5F" w:rsidRDefault="00000000">
      <w:r>
        <w:t>La información de la PILA debe cotejarse con los trabajadores, las novedades, los días cotizados y los ingresos base de cotización registrados en la nómina. La Resolución 2388 de 2016 establece las reglas y estructuras utilizadas para liquidar y pagar los aportes al Sistema de Seguridad Social Integral y los parafiscales (Resolución 2388 de 2016).</w:t>
      </w:r>
    </w:p>
    <w:p w14:paraId="0C082A63" w14:textId="77777777" w:rsidR="00612C5F" w:rsidRDefault="00000000">
      <w:r>
        <w:lastRenderedPageBreak/>
        <w:t xml:space="preserve">Los registros contables también deben coincidir con los gastos y obligaciones causados en la nómina. El marco técnico contable exige reconocer un pasivo cuando el trabajador ha prestado servicios a cambio de beneficios que serán pagados posteriormente y reconocer el gasto asociado al servicio recibido. Por ello, las diferencias entre la nómina y la contabilidad deben revisarse antes del cierre del periodo (Decreto 2420 de 2015, Anexo 1). Los siguientes cruces permiten comprobar la consistencia de la información y determinar las acciones requeridas cuando existan diferencias: </w:t>
      </w:r>
    </w:p>
    <w:p w14:paraId="304ED09D" w14:textId="77777777" w:rsidR="00612C5F" w:rsidRDefault="00000000">
      <w:pPr>
        <w:pStyle w:val="Listaconvietas"/>
        <w:ind w:left="1134"/>
      </w:pPr>
      <w:r>
        <w:rPr>
          <w:b/>
        </w:rPr>
        <w:t>Nómina – PILA.</w:t>
      </w:r>
      <w:r>
        <w:t xml:space="preserve"> Se deben comparar trabajadores, días, novedades, IBC y aportes. Ante diferencias en días, bases o administradoras, se debe revisar la novedad y corregir el reporte cuando corresponda.</w:t>
      </w:r>
    </w:p>
    <w:p w14:paraId="5AA5D6CC" w14:textId="77777777" w:rsidR="00612C5F" w:rsidRDefault="00000000">
      <w:pPr>
        <w:pStyle w:val="Listaconvietas"/>
        <w:ind w:left="1134"/>
      </w:pPr>
      <w:r>
        <w:rPr>
          <w:b/>
        </w:rPr>
        <w:t>Nómina – contabilidad.</w:t>
      </w:r>
      <w:r>
        <w:t xml:space="preserve"> Se deben cotejar salarios, aportes, prestaciones y deducciones. Si existe un gasto u obligación registrada por un valor diferente, se debe revisar el comprobante contable.</w:t>
      </w:r>
    </w:p>
    <w:p w14:paraId="272E400E" w14:textId="77777777" w:rsidR="00612C5F" w:rsidRDefault="00000000">
      <w:pPr>
        <w:pStyle w:val="Listaconvietas"/>
        <w:ind w:left="1134"/>
      </w:pPr>
      <w:r>
        <w:rPr>
          <w:b/>
        </w:rPr>
        <w:t>Nómina – bancos.</w:t>
      </w:r>
      <w:r>
        <w:t xml:space="preserve"> Se deben comparar el neto aprobado y los valores transferidos. Ante pagos omitidos, rechazados o duplicados, se debe identificar al trabajador y corregir el desembolso.</w:t>
      </w:r>
    </w:p>
    <w:p w14:paraId="345C1ACD" w14:textId="77777777" w:rsidR="00612C5F" w:rsidRDefault="00000000">
      <w:pPr>
        <w:pStyle w:val="Listaconvietas"/>
        <w:ind w:left="1134"/>
      </w:pPr>
      <w:r>
        <w:rPr>
          <w:b/>
        </w:rPr>
        <w:t>Nómina – pagos a terceros.</w:t>
      </w:r>
      <w:r>
        <w:t xml:space="preserve"> Se deben cotejar retenciones, libranzas, embargos y demás descuentos. Si un valor fue descontado, pero no transferido, se deben verificar el beneficiario y el comprobante de pago.</w:t>
      </w:r>
    </w:p>
    <w:p w14:paraId="4C7CE969" w14:textId="77777777" w:rsidR="00612C5F" w:rsidRDefault="00000000">
      <w:pPr>
        <w:pStyle w:val="Listaconvietas"/>
        <w:ind w:left="1134"/>
      </w:pPr>
      <w:r>
        <w:rPr>
          <w:b/>
        </w:rPr>
        <w:t>Nómina – nómina electrónica.</w:t>
      </w:r>
      <w:r>
        <w:t xml:space="preserve"> Se deben comparar los devengados, las deducciones y la diferencia resultante. Si los valores transmitidos son distintos de los registrados en la nómina definitiva, se debe analizar si procede una nota de ajuste.</w:t>
      </w:r>
    </w:p>
    <w:p w14:paraId="6F135129" w14:textId="77777777" w:rsidR="00612C5F" w:rsidRDefault="00000000">
      <w:r>
        <w:lastRenderedPageBreak/>
        <w:t>La conciliación permite relacionar los diferentes reportes y registros asociados con el mismo periodo y documentar las diferencias antes del cierre definitivo.</w:t>
      </w:r>
    </w:p>
    <w:p w14:paraId="531D80F0" w14:textId="77777777" w:rsidR="00612C5F" w:rsidRDefault="00000000">
      <w:pPr>
        <w:pStyle w:val="Ttulo5"/>
      </w:pPr>
      <w:r>
        <w:t>Ejemplo aplicado</w:t>
      </w:r>
    </w:p>
    <w:p w14:paraId="2DE85885" w14:textId="77777777" w:rsidR="00612C5F" w:rsidRDefault="00000000">
      <w:r>
        <w:t>Una empresa presenta los siguientes valores al cierre del periodo:</w:t>
      </w:r>
    </w:p>
    <w:p w14:paraId="4598BE48" w14:textId="77777777" w:rsidR="00612C5F" w:rsidRDefault="00000000">
      <w:pPr>
        <w:pStyle w:val="Listaconvietas"/>
        <w:ind w:left="1134"/>
      </w:pPr>
      <w:r>
        <w:t xml:space="preserve">Neto de nómina aprobado: $52.800.000. </w:t>
      </w:r>
    </w:p>
    <w:p w14:paraId="0FC8B371" w14:textId="77777777" w:rsidR="00612C5F" w:rsidRDefault="00000000">
      <w:pPr>
        <w:pStyle w:val="Listaconvietas"/>
        <w:ind w:left="1134"/>
      </w:pPr>
      <w:r>
        <w:t xml:space="preserve">Archivo bancario pagado: $52.500.000. </w:t>
      </w:r>
    </w:p>
    <w:p w14:paraId="21989D04" w14:textId="77777777" w:rsidR="00612C5F" w:rsidRDefault="00000000">
      <w:r>
        <w:t>La diferencia se determina así:</w:t>
      </w:r>
    </w:p>
    <w:p w14:paraId="76CC674F" w14:textId="77777777" w:rsidR="00612C5F" w:rsidRDefault="00000000">
      <w:pPr>
        <w:pStyle w:val="Ttulo5"/>
      </w:pPr>
      <w:r>
        <w:t>$52.800.000 - $52.500.000 = $300.000</w:t>
      </w:r>
    </w:p>
    <w:p w14:paraId="1AA43F22" w14:textId="77777777" w:rsidR="00612C5F" w:rsidRDefault="00000000">
      <w:r>
        <w:t>La conciliación permite identificar que el pago de un trabajador por $300.000 fue rechazado por la entidad financiera. En este caso, la nómina no debe modificarse si el valor liquidado era correcto; debe registrarse la obligación pendiente y efectuarse posteriormente el pago al trabajador, conservando el soporte de la operación.</w:t>
      </w:r>
    </w:p>
    <w:p w14:paraId="2A16B187" w14:textId="77777777" w:rsidR="00612C5F" w:rsidRDefault="00000000">
      <w:r>
        <w:t>En síntesis, la conciliación permite comprobar que lo liquidado, contabilizado, reportado y pagado corresponda con la misma información. Las diferencias deben identificarse, documentarse y corregirse antes del cierre definitivo del periodo.</w:t>
      </w:r>
    </w:p>
    <w:p w14:paraId="43A54808" w14:textId="77777777" w:rsidR="00612C5F" w:rsidRDefault="00000000">
      <w:pPr>
        <w:pStyle w:val="Ttulo2"/>
      </w:pPr>
      <w:bookmarkStart w:id="24" w:name="_Toc244277553"/>
      <w:r>
        <w:t>Nómina electrónica y reportes del periodo</w:t>
      </w:r>
      <w:bookmarkEnd w:id="24"/>
    </w:p>
    <w:p w14:paraId="36C93964" w14:textId="77777777" w:rsidR="00612C5F" w:rsidRDefault="00000000">
      <w:r>
        <w:t>El documento soporte de pago de nómina electrónica permite respaldar fiscalmente los costos y deducciones derivados de una relación laboral, legal y reglamentaria o del pago de pensiones a cargo del empleador. Está conformado por los valores devengados, los valores deducidos y la diferencia resultante, y debe generarse de manera individual por cada beneficiario del pago. La regulación se encuentra actualmente compilada en la Resolución DIAN 000227 de 2025 (DIAN, 2025).</w:t>
      </w:r>
    </w:p>
    <w:p w14:paraId="60AB8D0A" w14:textId="77777777" w:rsidR="00612C5F" w:rsidRDefault="00000000">
      <w:r>
        <w:lastRenderedPageBreak/>
        <w:t>La información se genera mensualmente, independientemente de que la organización pague la nómina de forma semanal, quincenal o con otra periodicidad. Los sujetos obligados deben transmitirla para validación de la DIAN dentro de los diez primeros días del mes siguiente al que corresponde el pago o abono en cuenta (DIAN).</w:t>
      </w:r>
    </w:p>
    <w:p w14:paraId="304E9F10" w14:textId="77777777" w:rsidR="00612C5F" w:rsidRDefault="00000000">
      <w:r>
        <w:t xml:space="preserve">Antes de efectuar la transmisión, los valores deben compararse con la nómina definitiva para comprobar que los trabajadores, devengados, deducciones y totales coincidan. Si posteriormente se identifica un error en un documento transmitido, la regulación contempla notas de ajuste para corregir la información correspondiente. Los siguientes reportes permiten relacionar la información generada al cierre del periodo con los controles requeridos antes de finalizar el proceso: </w:t>
      </w:r>
    </w:p>
    <w:p w14:paraId="5338E7E7" w14:textId="77777777" w:rsidR="00612C5F" w:rsidRDefault="00000000">
      <w:pPr>
        <w:pStyle w:val="Listaconvietas"/>
        <w:ind w:left="1134"/>
      </w:pPr>
      <w:r>
        <w:rPr>
          <w:b/>
        </w:rPr>
        <w:t>Nómina definitiva.</w:t>
      </w:r>
      <w:r>
        <w:t xml:space="preserve"> Contiene los devengados, las deducciones y el neto por trabajador. Se debe confirmar que corresponda con la nómina aprobada.</w:t>
      </w:r>
    </w:p>
    <w:p w14:paraId="49256082" w14:textId="77777777" w:rsidR="00612C5F" w:rsidRDefault="00000000">
      <w:pPr>
        <w:pStyle w:val="Listaconvietas"/>
        <w:ind w:left="1134"/>
      </w:pPr>
      <w:r>
        <w:rPr>
          <w:b/>
        </w:rPr>
        <w:t>Documento soporte de nómina electrónica.</w:t>
      </w:r>
      <w:r>
        <w:t xml:space="preserve"> Contiene los devengados, las deducciones y la diferencia resultante. Se debe comparar con la nómina definitiva antes de transmitirlo.</w:t>
      </w:r>
    </w:p>
    <w:p w14:paraId="39F44207" w14:textId="77777777" w:rsidR="00612C5F" w:rsidRDefault="00000000">
      <w:pPr>
        <w:pStyle w:val="Listaconvietas"/>
        <w:ind w:left="1134"/>
      </w:pPr>
      <w:r>
        <w:rPr>
          <w:b/>
        </w:rPr>
        <w:t>Nota de ajuste.</w:t>
      </w:r>
      <w:r>
        <w:t xml:space="preserve"> Permite corregir la información de un documento previamente transmitido. Se deben identificar el documento afectado y la causa del ajuste.</w:t>
      </w:r>
    </w:p>
    <w:p w14:paraId="6A95E879" w14:textId="77777777" w:rsidR="00612C5F" w:rsidRDefault="00000000">
      <w:pPr>
        <w:pStyle w:val="Listaconvietas"/>
        <w:ind w:left="1134"/>
      </w:pPr>
      <w:r>
        <w:rPr>
          <w:b/>
        </w:rPr>
        <w:t>PILA.</w:t>
      </w:r>
      <w:r>
        <w:t xml:space="preserve"> Contiene los días, las novedades, los ingresos base de cotización y los aportes. Se debe conciliar con las bases y novedades registradas en la nómina.</w:t>
      </w:r>
    </w:p>
    <w:p w14:paraId="1404534F" w14:textId="77777777" w:rsidR="00612C5F" w:rsidRDefault="00000000">
      <w:pPr>
        <w:pStyle w:val="Listaconvietas"/>
        <w:ind w:left="1134"/>
      </w:pPr>
      <w:r>
        <w:rPr>
          <w:b/>
        </w:rPr>
        <w:t>Reporte bancario.</w:t>
      </w:r>
      <w:r>
        <w:t xml:space="preserve"> Contiene los valores efectivamente transferidos. Se debe comparar con el neto autorizado.</w:t>
      </w:r>
    </w:p>
    <w:p w14:paraId="04FCC004" w14:textId="77777777" w:rsidR="00612C5F" w:rsidRDefault="00000000">
      <w:pPr>
        <w:pStyle w:val="Listaconvietas"/>
        <w:ind w:left="1134"/>
      </w:pPr>
      <w:r>
        <w:rPr>
          <w:b/>
        </w:rPr>
        <w:lastRenderedPageBreak/>
        <w:t>Comprobante contable.</w:t>
      </w:r>
      <w:r>
        <w:t xml:space="preserve"> Registra los gastos, las obligaciones y los pagos. Se debe cotejar con los totales de nómina.</w:t>
      </w:r>
    </w:p>
    <w:p w14:paraId="6F5F0369" w14:textId="77777777" w:rsidR="00612C5F" w:rsidRDefault="00000000">
      <w:pPr>
        <w:pStyle w:val="Listaconvietas"/>
        <w:ind w:left="1134"/>
      </w:pPr>
      <w:r>
        <w:rPr>
          <w:b/>
        </w:rPr>
        <w:t>Reporte de terceros.</w:t>
      </w:r>
      <w:r>
        <w:t xml:space="preserve"> Contiene retenciones, embargos, libranzas y demás pagos. Se deben verificar los valores descontados y transferidos.</w:t>
      </w:r>
    </w:p>
    <w:p w14:paraId="2B12C88F" w14:textId="77777777" w:rsidR="00612C5F" w:rsidRDefault="00000000">
      <w:pPr>
        <w:pStyle w:val="Listaconvietas"/>
        <w:ind w:left="1134"/>
      </w:pPr>
      <w:r>
        <w:rPr>
          <w:b/>
        </w:rPr>
        <w:t>Resumen del periodo.</w:t>
      </w:r>
      <w:r>
        <w:t xml:space="preserve"> Consolida los totales y las variaciones de la nómina. Se deben identificar y sustentar las diferencias frente al periodo anterior.</w:t>
      </w:r>
    </w:p>
    <w:p w14:paraId="0AA4E1B5" w14:textId="77777777" w:rsidR="00612C5F" w:rsidRDefault="00000000">
      <w:r>
        <w:t>La revisión conjunta de estos reportes permite comprobar la consistencia entre la nómina definitiva, la PILA, los pagos, la contabilidad y la información transmitida a la DIAN.</w:t>
      </w:r>
    </w:p>
    <w:p w14:paraId="7273825D" w14:textId="77777777" w:rsidR="00612C5F" w:rsidRDefault="00000000">
      <w:pPr>
        <w:pStyle w:val="Ttulo5"/>
      </w:pPr>
      <w:r>
        <w:t>Ejemplo aplicado</w:t>
      </w:r>
    </w:p>
    <w:p w14:paraId="545D3108" w14:textId="77777777" w:rsidR="00612C5F" w:rsidRDefault="00000000">
      <w:r>
        <w:t>Una empresa cierra la nómina mensual con los siguientes valores para una trabajadora:</w:t>
      </w:r>
    </w:p>
    <w:p w14:paraId="162ED481" w14:textId="77777777" w:rsidR="00612C5F" w:rsidRDefault="00000000">
      <w:pPr>
        <w:pStyle w:val="Listaconvietas"/>
        <w:ind w:left="1134"/>
      </w:pPr>
      <w:r>
        <w:t xml:space="preserve">Total devengado: $3.200.000. </w:t>
      </w:r>
    </w:p>
    <w:p w14:paraId="1D9B0F1D" w14:textId="77777777" w:rsidR="00612C5F" w:rsidRDefault="00000000">
      <w:pPr>
        <w:pStyle w:val="Listaconvietas"/>
        <w:ind w:left="1134"/>
      </w:pPr>
      <w:r>
        <w:t xml:space="preserve">Total deducido: $320.000. </w:t>
      </w:r>
    </w:p>
    <w:p w14:paraId="609F927E" w14:textId="77777777" w:rsidR="00612C5F" w:rsidRDefault="00000000">
      <w:pPr>
        <w:pStyle w:val="Listaconvietas"/>
        <w:ind w:left="1134"/>
      </w:pPr>
      <w:r>
        <w:t xml:space="preserve">Neto: $2.880.000. </w:t>
      </w:r>
    </w:p>
    <w:p w14:paraId="64C3C623" w14:textId="77777777" w:rsidR="00612C5F" w:rsidRDefault="00000000">
      <w:r>
        <w:t>Si antes de transmitir se detecta que una comisión por $200.000 fue omitida, primero debe corregirse la nómina definitiva y, posteriormente, generar el documento con los valores actualizados. Si el documento ya fue transmitido y validado, debe analizarse la generación de la respectiva nota de ajuste.</w:t>
      </w:r>
    </w:p>
    <w:p w14:paraId="459508CD" w14:textId="77777777" w:rsidR="00612C5F" w:rsidRDefault="00000000">
      <w:r>
        <w:t xml:space="preserve">En conclusión, la nómina electrónica y los demás reportes del periodo permiten relacionar la información liquidada con los valores reportados, contabilizados y pagados. Su revisión conjunta facilita cerrar el proceso con datos consistentes y </w:t>
      </w:r>
      <w:r>
        <w:lastRenderedPageBreak/>
        <w:t>proporciona la base para gestionar posteriormente errores, reliquidaciones y correcciones.</w:t>
      </w:r>
    </w:p>
    <w:p w14:paraId="017F8362" w14:textId="77777777" w:rsidR="00612C5F" w:rsidRDefault="00000000">
      <w:r>
        <w:t>El pago y la contabilización de la nómina requieren comprobar que los valores aprobados coincidan con los desembolsos, los registros contables, la PILA y los reportes electrónicos. La conciliación permite identificar oportunamente diferencias y mantener la trazabilidad de las operaciones antes del cierre definitivo del periodo.</w:t>
      </w:r>
    </w:p>
    <w:p w14:paraId="13DFF117" w14:textId="77777777" w:rsidR="00612C5F" w:rsidRDefault="00000000">
      <w:pPr>
        <w:pStyle w:val="Ttulo4"/>
      </w:pPr>
      <w:r>
        <w:t>Ajustes, soportes y conservación de información</w:t>
      </w:r>
    </w:p>
    <w:p w14:paraId="1130B276" w14:textId="77777777" w:rsidR="00612C5F" w:rsidRDefault="00000000">
      <w:r>
        <w:t>Se invita a leer el documento “Anexo 1”, donde se aborda la gestión de ajustes, correcciones y conservación de la información de nómina, incluyendo errores y diferencias de pago, reliquidaciones, retroactivos, trazabilidad, archivo documental y copias de seguridad.</w:t>
      </w:r>
    </w:p>
    <w:p w14:paraId="143B1334" w14:textId="77777777" w:rsidR="00EE4C61" w:rsidRPr="003758F7" w:rsidRDefault="00EE4C61" w:rsidP="006156B5">
      <w:pPr>
        <w:pStyle w:val="Titulosgenerales"/>
      </w:pPr>
      <w:bookmarkStart w:id="25" w:name="_Toc244277554"/>
      <w:r w:rsidRPr="003758F7">
        <w:lastRenderedPageBreak/>
        <w:t>Síntesis</w:t>
      </w:r>
      <w:bookmarkEnd w:id="25"/>
      <w:r w:rsidRPr="003758F7">
        <w:t xml:space="preserve"> </w:t>
      </w:r>
    </w:p>
    <w:p w14:paraId="395C61CF"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28210EF7" w14:textId="77777777" w:rsidR="00781D51" w:rsidRDefault="00501B6E" w:rsidP="001658C0">
      <w:pPr>
        <w:ind w:firstLine="0"/>
        <w:jc w:val="center"/>
        <w:rPr>
          <w:noProof/>
          <w:lang w:eastAsia="es-CO"/>
        </w:rPr>
      </w:pPr>
      <w:r>
        <w:rPr>
          <w:noProof/>
        </w:rPr>
        <w:drawing>
          <wp:inline distT="0" distB="0" distL="0" distR="0" wp14:anchorId="5BA3A996" wp14:editId="30ADD787">
            <wp:extent cx="6332220" cy="4161903"/>
            <wp:effectExtent l="0" t="0" r="0" b="0"/>
            <wp:docPr id="720828610" name="Picture 720828610" descr="Síntesis sobre liquidación, pago y control de nómina, organizado en cinco áreas: información validada, derechos económicos, obligaciones laborales, pago y registro, y control y trazabilidad. Incluye condiciones contractuales, remuneración, deducciones, aportes, comprobantes, conciliación y conservación de so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4161903"/>
                    </a:xfrm>
                    <a:prstGeom prst="rect">
                      <a:avLst/>
                    </a:prstGeom>
                  </pic:spPr>
                </pic:pic>
              </a:graphicData>
            </a:graphic>
          </wp:inline>
        </w:drawing>
      </w:r>
    </w:p>
    <w:p w14:paraId="1747E3EA" w14:textId="77777777" w:rsidR="00F36C9D" w:rsidRPr="003758F7" w:rsidRDefault="00F36C9D" w:rsidP="006156B5">
      <w:pPr>
        <w:pStyle w:val="Titulosgenerales"/>
      </w:pPr>
      <w:bookmarkStart w:id="26" w:name="_Toc244277555"/>
      <w:r w:rsidRPr="003758F7">
        <w:lastRenderedPageBreak/>
        <w:t>Glosario</w:t>
      </w:r>
      <w:bookmarkEnd w:id="26"/>
    </w:p>
    <w:p w14:paraId="3BFF34BE" w14:textId="77777777" w:rsidR="00612C5F" w:rsidRDefault="00000000">
      <w:r>
        <w:rPr>
          <w:b/>
        </w:rPr>
        <w:t xml:space="preserve">Ajuste de nómina: </w:t>
      </w:r>
      <w:r>
        <w:t>modificación realizada para corregir errores, omisiones o diferencias identificadas después de liquidar, pagar o reportar la nómina.</w:t>
      </w:r>
    </w:p>
    <w:p w14:paraId="4897215C" w14:textId="77777777" w:rsidR="00612C5F" w:rsidRDefault="00000000">
      <w:r>
        <w:rPr>
          <w:b/>
        </w:rPr>
        <w:t xml:space="preserve">Aporte parafiscal: </w:t>
      </w:r>
      <w:r>
        <w:t>contribución a cargo del empleador destinada, cuando corresponda, a entidades como las cajas de compensación familiar, el SENA y el ICBF.</w:t>
      </w:r>
    </w:p>
    <w:p w14:paraId="68E79312" w14:textId="77777777" w:rsidR="00612C5F" w:rsidRDefault="00000000">
      <w:r>
        <w:rPr>
          <w:b/>
        </w:rPr>
        <w:t xml:space="preserve">Base de liquidación: </w:t>
      </w:r>
      <w:r>
        <w:t>valor utilizado como referencia para aplicar una fórmula, porcentaje o proporción y determinar un concepto de nómina.</w:t>
      </w:r>
    </w:p>
    <w:p w14:paraId="170212C7" w14:textId="77777777" w:rsidR="00612C5F" w:rsidRDefault="00000000">
      <w:r>
        <w:rPr>
          <w:b/>
        </w:rPr>
        <w:t xml:space="preserve">Conciliación de nómina: </w:t>
      </w:r>
      <w:r>
        <w:t>comparación entre la información liquidada, contabilizada, reportada y pagada para identificar y corregir diferencias.</w:t>
      </w:r>
    </w:p>
    <w:p w14:paraId="45970BB9" w14:textId="77777777" w:rsidR="00612C5F" w:rsidRDefault="00000000">
      <w:r>
        <w:rPr>
          <w:b/>
        </w:rPr>
        <w:t xml:space="preserve">Deducción: </w:t>
      </w:r>
      <w:r>
        <w:t>valor descontado del total devengado por concepto de aportes, retenciones, embargos, libranzas u otras obligaciones autorizadas.</w:t>
      </w:r>
    </w:p>
    <w:p w14:paraId="4EA99139" w14:textId="77777777" w:rsidR="00612C5F" w:rsidRDefault="00000000">
      <w:r>
        <w:rPr>
          <w:b/>
        </w:rPr>
        <w:t xml:space="preserve">Devengado: </w:t>
      </w:r>
      <w:r>
        <w:t>conjunto de valores reconocidos al trabajador durante un periodo, como salario, comisiones, recargos, auxilios y otros conceptos aplicables.</w:t>
      </w:r>
    </w:p>
    <w:p w14:paraId="5A350974" w14:textId="77777777" w:rsidR="00612C5F" w:rsidRDefault="00000000">
      <w:r>
        <w:rPr>
          <w:b/>
        </w:rPr>
        <w:t xml:space="preserve">Embargo salarial: </w:t>
      </w:r>
      <w:r>
        <w:t>descuento ordenado por una autoridad judicial sobre el salario del trabajador, sujeto a los límites establecidos legalmente.</w:t>
      </w:r>
    </w:p>
    <w:p w14:paraId="3FB88780" w14:textId="77777777" w:rsidR="00612C5F" w:rsidRDefault="00000000">
      <w:r>
        <w:rPr>
          <w:b/>
        </w:rPr>
        <w:t xml:space="preserve">Ingreso base de cotización: </w:t>
      </w:r>
      <w:r>
        <w:t>valor sobre el cual se calculan los aportes al Sistema de Seguridad Social Integral.</w:t>
      </w:r>
    </w:p>
    <w:p w14:paraId="2533039B" w14:textId="77777777" w:rsidR="00612C5F" w:rsidRDefault="00000000">
      <w:r>
        <w:rPr>
          <w:b/>
        </w:rPr>
        <w:t xml:space="preserve">Liquidación final: </w:t>
      </w:r>
      <w:r>
        <w:t>cálculo de los salarios, prestaciones, vacaciones y demás valores pendientes al finalizar el contrato de trabajo.</w:t>
      </w:r>
    </w:p>
    <w:p w14:paraId="311E1D70" w14:textId="77777777" w:rsidR="00612C5F" w:rsidRDefault="00000000">
      <w:r>
        <w:rPr>
          <w:b/>
        </w:rPr>
        <w:lastRenderedPageBreak/>
        <w:t xml:space="preserve">Nómina electrónica: </w:t>
      </w:r>
      <w:r>
        <w:t>documento soporte generado electrónicamente que contiene los valores devengados y deducidos de cada trabajador para efectos tributarios.</w:t>
      </w:r>
    </w:p>
    <w:p w14:paraId="6B5C1A24" w14:textId="77777777" w:rsidR="00612C5F" w:rsidRDefault="00000000">
      <w:r>
        <w:rPr>
          <w:b/>
        </w:rPr>
        <w:t xml:space="preserve">Planilla Integrada de Liquidación de Aportes (PILA): </w:t>
      </w:r>
      <w:r>
        <w:t>sistema utilizado para reportar y pagar de manera integrada los aportes a seguridad social y parafiscales.</w:t>
      </w:r>
    </w:p>
    <w:p w14:paraId="4763C9B8" w14:textId="77777777" w:rsidR="00612C5F" w:rsidRDefault="00000000">
      <w:r>
        <w:rPr>
          <w:b/>
        </w:rPr>
        <w:t xml:space="preserve">Prenómina: </w:t>
      </w:r>
      <w:r>
        <w:t>resultado preliminar de la liquidación que permite revisar trabajadores, novedades, devengados, deducciones, bases y valores antes de la aprobación definitiva.</w:t>
      </w:r>
    </w:p>
    <w:p w14:paraId="5A3E6E62" w14:textId="77777777" w:rsidR="00612C5F" w:rsidRDefault="00000000">
      <w:r>
        <w:rPr>
          <w:b/>
        </w:rPr>
        <w:t xml:space="preserve">Provisión: </w:t>
      </w:r>
      <w:r>
        <w:t>reconocimiento periódico de valores causados por beneficios laborales que serán pagados o disfrutados posteriormente.</w:t>
      </w:r>
    </w:p>
    <w:p w14:paraId="281D9DF0" w14:textId="77777777" w:rsidR="00612C5F" w:rsidRDefault="00000000">
      <w:r>
        <w:rPr>
          <w:b/>
        </w:rPr>
        <w:t xml:space="preserve">Reliquidación: </w:t>
      </w:r>
      <w:r>
        <w:t>nuevo cálculo de uno o varios conceptos de nómina cuando se identifica información incorrecta, incompleta o modificada.</w:t>
      </w:r>
    </w:p>
    <w:p w14:paraId="1340CF17" w14:textId="77777777" w:rsidR="00612C5F" w:rsidRDefault="00000000">
      <w:r>
        <w:rPr>
          <w:b/>
        </w:rPr>
        <w:t xml:space="preserve">Soporte de nómina: </w:t>
      </w:r>
      <w:r>
        <w:t>documento o registro que respalda los datos, novedades, cálculos, deducciones, pagos y ajustes realizados durante el proceso de nómina.</w:t>
      </w:r>
    </w:p>
    <w:p w14:paraId="38556319" w14:textId="77777777" w:rsidR="002E5B3A" w:rsidRPr="003758F7" w:rsidRDefault="002E5B3A" w:rsidP="006156B5">
      <w:pPr>
        <w:pStyle w:val="Titulosgenerales"/>
      </w:pPr>
      <w:bookmarkStart w:id="27" w:name="_Toc244277556"/>
      <w:r w:rsidRPr="003758F7">
        <w:lastRenderedPageBreak/>
        <w:t>Referencias bibliográficas</w:t>
      </w:r>
      <w:bookmarkEnd w:id="27"/>
      <w:r w:rsidRPr="003758F7">
        <w:t xml:space="preserve"> </w:t>
      </w:r>
    </w:p>
    <w:p w14:paraId="3EC78355" w14:textId="77777777" w:rsidR="00612C5F" w:rsidRDefault="00000000">
      <w:r>
        <w:t xml:space="preserve">Colpensiones. (2016, 14 de mayo). Historia laboral.  </w:t>
      </w:r>
      <w:hyperlink r:id="rId16">
        <w:r>
          <w:rPr>
            <w:rStyle w:val="Hipervnculo"/>
          </w:rPr>
          <w:t>https://www.colpensiones.gov.co/preguntas-frecuentes/297/historia-laboral/</w:t>
        </w:r>
      </w:hyperlink>
    </w:p>
    <w:p w14:paraId="07063823" w14:textId="77777777" w:rsidR="00612C5F" w:rsidRDefault="00000000">
      <w:r>
        <w:t xml:space="preserve">Colpensiones. (2026, 22 de enero). ¿Cómo aportar para mi pensión?  </w:t>
      </w:r>
      <w:hyperlink r:id="rId17">
        <w:r>
          <w:rPr>
            <w:rStyle w:val="Hipervnculo"/>
          </w:rPr>
          <w:t>https://www.colpensiones.gov.co/educacion/publicaciones/2849/como-aportar-a-pension/</w:t>
        </w:r>
      </w:hyperlink>
    </w:p>
    <w:p w14:paraId="14A44B8B" w14:textId="77777777" w:rsidR="00612C5F" w:rsidRDefault="00000000">
      <w:r>
        <w:t xml:space="preserve">Colpensiones. (2026, 20 de mayo). ¿Qué es el RPM?  </w:t>
      </w:r>
      <w:hyperlink r:id="rId18">
        <w:r>
          <w:rPr>
            <w:rStyle w:val="Hipervnculo"/>
          </w:rPr>
          <w:t>https://www.colpensiones.gov.co/pensiones/publicaciones/120/que-es-el-rpm/</w:t>
        </w:r>
      </w:hyperlink>
    </w:p>
    <w:p w14:paraId="7DF2C924" w14:textId="77777777" w:rsidR="00612C5F" w:rsidRDefault="00000000">
      <w:r>
        <w:t xml:space="preserve">Congreso de la República de Colombia. (1950, 5 de agosto). Código Sustantivo del Trabajo.  </w:t>
      </w:r>
      <w:hyperlink r:id="rId19">
        <w:r>
          <w:rPr>
            <w:rStyle w:val="Hipervnculo"/>
          </w:rPr>
          <w:t>https://www.funcionpublica.gov.co/eva/gestornormativo/norma.php?i=199983</w:t>
        </w:r>
      </w:hyperlink>
    </w:p>
    <w:p w14:paraId="661B6C60" w14:textId="77777777" w:rsidR="00612C5F" w:rsidRDefault="00000000">
      <w:r>
        <w:t xml:space="preserve">Congreso de la República de Colombia. (1963, 1 de febrero). Ley 1 de 1963.  </w:t>
      </w:r>
      <w:hyperlink r:id="rId20">
        <w:r>
          <w:rPr>
            <w:rStyle w:val="Hipervnculo"/>
          </w:rPr>
          <w:t>https://www.suin-juriscol.gov.co/viewDocument.asp?id=1556008</w:t>
        </w:r>
      </w:hyperlink>
    </w:p>
    <w:p w14:paraId="45199A48" w14:textId="77777777" w:rsidR="00612C5F" w:rsidRDefault="00000000">
      <w:r>
        <w:t xml:space="preserve">Congreso de la República de Colombia. (1988, 29 de diciembre). Ley 89 de 1988.  </w:t>
      </w:r>
      <w:hyperlink r:id="rId21">
        <w:r>
          <w:rPr>
            <w:rStyle w:val="Hipervnculo"/>
          </w:rPr>
          <w:t>https://www.suin-juriscol.gov.co/viewDocument.asp?id=1630866</w:t>
        </w:r>
      </w:hyperlink>
    </w:p>
    <w:p w14:paraId="02409C38" w14:textId="77777777" w:rsidR="00612C5F" w:rsidRDefault="00000000">
      <w:r>
        <w:t xml:space="preserve">Congreso de la República de Colombia. (1990, 28 de diciembre). Ley 50 de 1990.  </w:t>
      </w:r>
      <w:hyperlink r:id="rId22">
        <w:r>
          <w:rPr>
            <w:rStyle w:val="Hipervnculo"/>
          </w:rPr>
          <w:t>https://www.suin-juriscol.gov.co/viewDocument.asp?ruta=Leyes%2F1604809</w:t>
        </w:r>
      </w:hyperlink>
    </w:p>
    <w:p w14:paraId="03B5BE94" w14:textId="77777777" w:rsidR="00612C5F" w:rsidRDefault="00000000">
      <w:r>
        <w:t xml:space="preserve">Congreso de la República de Colombia. (1993, 23 de diciembre). Ley 100 de 1993.  </w:t>
      </w:r>
    </w:p>
    <w:p w14:paraId="6E5CEA03" w14:textId="77777777" w:rsidR="00612C5F" w:rsidRDefault="00000000">
      <w:r>
        <w:t xml:space="preserve">Congreso de la República de Colombia. (2002, 17 de diciembre). Ley 776 de 2002.  </w:t>
      </w:r>
    </w:p>
    <w:p w14:paraId="7D8A7967" w14:textId="77777777" w:rsidR="00612C5F" w:rsidRDefault="00000000">
      <w:r>
        <w:t xml:space="preserve">Congreso de la República de Colombia. (2003, 29 de enero). Ley 797 de 2003.  </w:t>
      </w:r>
    </w:p>
    <w:p w14:paraId="44604CF1" w14:textId="77777777" w:rsidR="00612C5F" w:rsidRDefault="00000000">
      <w:r>
        <w:t xml:space="preserve">Congreso de la República de Colombia. (2005, 8 de julio). Ley 962 de 2005.  </w:t>
      </w:r>
    </w:p>
    <w:p w14:paraId="3D74A260" w14:textId="77777777" w:rsidR="00612C5F" w:rsidRDefault="00000000">
      <w:r>
        <w:lastRenderedPageBreak/>
        <w:t xml:space="preserve">Congreso de la República de Colombia. (2007, 9 de enero). Ley 1122 de 2007.  </w:t>
      </w:r>
    </w:p>
    <w:p w14:paraId="3E861B23" w14:textId="77777777" w:rsidR="00612C5F" w:rsidRDefault="00000000">
      <w:r>
        <w:t xml:space="preserve">Congreso de la República de Colombia. (2008, 16 de julio). Ley 1221 de 2008.  </w:t>
      </w:r>
    </w:p>
    <w:p w14:paraId="39CBD486" w14:textId="77777777" w:rsidR="00612C5F" w:rsidRDefault="00000000">
      <w:r>
        <w:t xml:space="preserve">Congreso de la República de Colombia. (2010, 12 de julio). Ley 1393 de 2010.  </w:t>
      </w:r>
    </w:p>
    <w:p w14:paraId="5BA4E51B" w14:textId="77777777" w:rsidR="00612C5F" w:rsidRDefault="00000000">
      <w:r>
        <w:t xml:space="preserve">Congreso de la República de Colombia. (2010, 29 de diciembre). Ley 1429 de 2010.  </w:t>
      </w:r>
    </w:p>
    <w:p w14:paraId="5FF62123" w14:textId="77777777" w:rsidR="00612C5F" w:rsidRDefault="00000000">
      <w:r>
        <w:t xml:space="preserve">Congreso de la República de Colombia. (2012, 11 de julio). Ley 1562 de 2012.  </w:t>
      </w:r>
    </w:p>
    <w:p w14:paraId="00621DE0" w14:textId="77777777" w:rsidR="00612C5F" w:rsidRDefault="00000000">
      <w:r>
        <w:t xml:space="preserve">Congreso de la República de Colombia. (2012, 12 de octubre). Ley 1581 de 2012.  </w:t>
      </w:r>
    </w:p>
    <w:p w14:paraId="4F20CBE7" w14:textId="77777777" w:rsidR="00612C5F" w:rsidRDefault="00000000">
      <w:r>
        <w:t xml:space="preserve">Congreso de la República de Colombia. (2016, 7 de julio). Ley 1788 de 2016.  </w:t>
      </w:r>
    </w:p>
    <w:p w14:paraId="383B393B" w14:textId="77777777" w:rsidR="00612C5F" w:rsidRDefault="00000000">
      <w:r>
        <w:t xml:space="preserve">Congreso de la República de Colombia. (2021, 12 de mayo). Ley 2088 de 2021.  </w:t>
      </w:r>
    </w:p>
    <w:p w14:paraId="530F6C44" w14:textId="77777777" w:rsidR="00612C5F" w:rsidRDefault="00000000">
      <w:r>
        <w:t xml:space="preserve">Congreso de la República de Colombia. (2021, 15 de julio). Ley 2101 de 2021.  </w:t>
      </w:r>
    </w:p>
    <w:p w14:paraId="11B952C2" w14:textId="77777777" w:rsidR="00612C5F" w:rsidRDefault="00000000">
      <w:r>
        <w:t xml:space="preserve">Congreso de la República de Colombia. (2021, 29 de julio). Ley 2114 de 2021.  </w:t>
      </w:r>
    </w:p>
    <w:p w14:paraId="0DA89F17" w14:textId="77777777" w:rsidR="00612C5F" w:rsidRDefault="00000000">
      <w:r>
        <w:t xml:space="preserve">Congreso de la República de Colombia. (2005, 10 de noviembre). Ley 995 de 2005.  </w:t>
      </w:r>
    </w:p>
    <w:p w14:paraId="18EBFB31" w14:textId="77777777" w:rsidR="00612C5F" w:rsidRDefault="00000000">
      <w:r>
        <w:t xml:space="preserve">Corte Constitucional de Colombia. (2006, 4 de octubre). Sentencia C-823/06.  </w:t>
      </w:r>
    </w:p>
    <w:p w14:paraId="3010455E" w14:textId="77777777" w:rsidR="00612C5F" w:rsidRDefault="00000000">
      <w:r>
        <w:t xml:space="preserve">Departamento Administrativo de la Función Pública. (2022, 11 de abril). Concepto 144581 de 2022.  </w:t>
      </w:r>
    </w:p>
    <w:p w14:paraId="7B41F452" w14:textId="77777777" w:rsidR="00612C5F" w:rsidRDefault="00000000">
      <w:r>
        <w:t xml:space="preserve">Dirección de Impuestos y Aduanas Nacionales [DIAN]. (2025, 23 de septiembre). Resolución 000227 de 2025.  </w:t>
      </w:r>
    </w:p>
    <w:p w14:paraId="2C46F171" w14:textId="77777777" w:rsidR="00612C5F" w:rsidRDefault="00000000">
      <w:r>
        <w:t xml:space="preserve">Dirección de Impuestos y Aduanas Nacionales [DIAN]. (s. f.). Documento soporte de pago de nómina electrónica.  </w:t>
      </w:r>
    </w:p>
    <w:p w14:paraId="38A93512" w14:textId="77777777" w:rsidR="00612C5F" w:rsidRDefault="00000000">
      <w:r>
        <w:lastRenderedPageBreak/>
        <w:t xml:space="preserve">Ministerio de la Protección Social. (2006, 6 de marzo). Resolución 0634 de 2006.  </w:t>
      </w:r>
    </w:p>
    <w:p w14:paraId="4E65D625" w14:textId="77777777" w:rsidR="00612C5F" w:rsidRDefault="00000000">
      <w:r>
        <w:t xml:space="preserve">Ministerio de Salud y Protección Social. (s. f.). Contacto operadores PILA.  </w:t>
      </w:r>
      <w:hyperlink r:id="rId23">
        <w:r>
          <w:rPr>
            <w:rStyle w:val="Hipervnculo"/>
          </w:rPr>
          <w:t>https://www.minsalud.gov.co/Proteccion-Social/Paginas/contacto-operadores-pila.aspx</w:t>
        </w:r>
      </w:hyperlink>
    </w:p>
    <w:p w14:paraId="33D524C8" w14:textId="77777777" w:rsidR="00612C5F" w:rsidRDefault="00000000">
      <w:r>
        <w:t xml:space="preserve">Ministerio de Salud y Protección Social. (s. f.). Planilla Integrada de Liquidación de Aportes (PILA).  </w:t>
      </w:r>
      <w:hyperlink r:id="rId24">
        <w:r>
          <w:rPr>
            <w:rStyle w:val="Hipervnculo"/>
          </w:rPr>
          <w:t>https://www.minsalud.gov.co/Proteccion-Social/Paginas/pila.aspx</w:t>
        </w:r>
      </w:hyperlink>
    </w:p>
    <w:p w14:paraId="12F0D03F" w14:textId="77777777" w:rsidR="00612C5F" w:rsidRDefault="00000000">
      <w:r>
        <w:t xml:space="preserve">Ministerio de Salud y Protección Social. (2016, 10 de junio). Resolución 2388 de 2016.  </w:t>
      </w:r>
      <w:hyperlink r:id="rId25">
        <w:r>
          <w:rPr>
            <w:rStyle w:val="Hipervnculo"/>
          </w:rPr>
          <w:t>https://www.minsalud.gov.co/Normatividad_Nuevo/Resolución%202388%20de%202016.pdf</w:t>
        </w:r>
      </w:hyperlink>
    </w:p>
    <w:p w14:paraId="3B71AE38" w14:textId="77777777" w:rsidR="00612C5F" w:rsidRDefault="00000000">
      <w:r>
        <w:t xml:space="preserve">Ministerio de Salud y Protección Social. (2019, 16 de septiembre). Anexo técnico 2: Aportes a seguridad social de activos.  </w:t>
      </w:r>
      <w:hyperlink r:id="rId26">
        <w:r>
          <w:rPr>
            <w:rStyle w:val="Hipervnculo"/>
          </w:rPr>
          <w:t>https://www.minsalud.gov.co/sites/rid/Lists/BibliotecaDigital/RIDE/DE/OT/Anexo-tecnico-2-2016-pila.pdf</w:t>
        </w:r>
      </w:hyperlink>
    </w:p>
    <w:p w14:paraId="13357011" w14:textId="77777777" w:rsidR="00612C5F" w:rsidRDefault="00000000">
      <w:r>
        <w:t xml:space="preserve">Ministerio de Salud y Protección Social. (s. f.). Sistema de pensiones y otras prestaciones.  </w:t>
      </w:r>
      <w:hyperlink r:id="rId27">
        <w:r>
          <w:rPr>
            <w:rStyle w:val="Hipervnculo"/>
          </w:rPr>
          <w:t>https://www.minsalud.gov.co/Proteccion-Social/RiesgosLaborales/Paginas/sistema-general-pensiones.aspx</w:t>
        </w:r>
      </w:hyperlink>
    </w:p>
    <w:p w14:paraId="0418E7DD" w14:textId="77777777" w:rsidR="00612C5F" w:rsidRDefault="00000000">
      <w:r>
        <w:t xml:space="preserve">Ministerio del Trabajo. (2026, 5 de marzo). Decreto 223 de 2026.  </w:t>
      </w:r>
    </w:p>
    <w:p w14:paraId="4A83B8CA" w14:textId="77777777" w:rsidR="00612C5F" w:rsidRDefault="00000000">
      <w:r>
        <w:t xml:space="preserve">Ministerio del Trabajo. (2012, 16 de abril). Circular Externa 018 de 2012.  </w:t>
      </w:r>
    </w:p>
    <w:p w14:paraId="3A54FD5E" w14:textId="77777777" w:rsidR="00612C5F" w:rsidRDefault="00000000">
      <w:r>
        <w:t xml:space="preserve">OFIMA. (2026). Nómina electrónica en Colombia: Qué es y cómo funciona en 2026.  </w:t>
      </w:r>
    </w:p>
    <w:p w14:paraId="6988CCC6" w14:textId="77777777" w:rsidR="00612C5F" w:rsidRDefault="00000000">
      <w:r>
        <w:t xml:space="preserve">Presidencia de la República de Colombia. (1954, 26 de febrero). Decreto 617 de 1954.  </w:t>
      </w:r>
    </w:p>
    <w:p w14:paraId="4024A8AA" w14:textId="77777777" w:rsidR="00612C5F" w:rsidRDefault="00000000">
      <w:r>
        <w:lastRenderedPageBreak/>
        <w:t xml:space="preserve">Presidencia de la República de Colombia. (1994, 22 de junio). Decreto 1295 de 1994.  </w:t>
      </w:r>
    </w:p>
    <w:p w14:paraId="59674857" w14:textId="77777777" w:rsidR="00612C5F" w:rsidRDefault="00000000">
      <w:r>
        <w:t xml:space="preserve">Presidencia de la República de Colombia. (2015, 26 de mayo). Decreto 1072 de 2015.  </w:t>
      </w:r>
    </w:p>
    <w:p w14:paraId="6A4F0F7D" w14:textId="77777777" w:rsidR="00612C5F" w:rsidRDefault="00000000">
      <w:r>
        <w:t xml:space="preserve">Presidencia de la República de Colombia. (2015). Decreto 2420 de 2015, anexo 1.  </w:t>
      </w:r>
    </w:p>
    <w:p w14:paraId="76121F19" w14:textId="77777777" w:rsidR="00612C5F" w:rsidRDefault="00000000">
      <w:r>
        <w:t xml:space="preserve">Presidencia de la República de Colombia. (2015). Decreto 2420 de 2015, anexo 2.  </w:t>
      </w:r>
    </w:p>
    <w:p w14:paraId="3040097B" w14:textId="77777777" w:rsidR="00612C5F" w:rsidRDefault="00000000">
      <w:r>
        <w:t xml:space="preserve">Presidencia de la República de Colombia. (2016, 6 de diciembre). Decreto 1990 de 2016.  </w:t>
      </w:r>
    </w:p>
    <w:p w14:paraId="23B86FDA" w14:textId="77777777" w:rsidR="00612C5F" w:rsidRDefault="00000000">
      <w:r>
        <w:t xml:space="preserve">Presidencia de la República de Colombia. (2016, 6 de mayo). Decreto 780 de 2016.  </w:t>
      </w:r>
    </w:p>
    <w:p w14:paraId="75A7D290" w14:textId="77777777" w:rsidR="002E5B3A" w:rsidRPr="003758F7" w:rsidRDefault="00F36C9D" w:rsidP="006156B5">
      <w:pPr>
        <w:pStyle w:val="Titulosgenerales"/>
      </w:pPr>
      <w:bookmarkStart w:id="28" w:name="_Toc244277557"/>
      <w:r w:rsidRPr="003758F7">
        <w:lastRenderedPageBreak/>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1E504D00"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245CC62" w14:textId="77777777" w:rsidR="00EB0F1A" w:rsidRPr="003758F7" w:rsidRDefault="00EB0F1A" w:rsidP="00304152">
            <w:pPr>
              <w:ind w:firstLine="0"/>
              <w:rPr>
                <w:lang w:eastAsia="es-CO"/>
              </w:rPr>
            </w:pPr>
            <w:r w:rsidRPr="003758F7">
              <w:rPr>
                <w:lang w:eastAsia="es-CO"/>
              </w:rPr>
              <w:t>Nombre</w:t>
            </w:r>
          </w:p>
        </w:tc>
        <w:tc>
          <w:tcPr>
            <w:tcW w:w="3261" w:type="dxa"/>
          </w:tcPr>
          <w:p w14:paraId="0ABE9F00" w14:textId="77777777" w:rsidR="00EB0F1A" w:rsidRPr="003758F7" w:rsidRDefault="00EB0F1A" w:rsidP="00304152">
            <w:pPr>
              <w:ind w:firstLine="0"/>
              <w:rPr>
                <w:lang w:eastAsia="es-CO"/>
              </w:rPr>
            </w:pPr>
            <w:r w:rsidRPr="003758F7">
              <w:rPr>
                <w:lang w:eastAsia="es-CO"/>
              </w:rPr>
              <w:t>Cargo</w:t>
            </w:r>
          </w:p>
        </w:tc>
        <w:tc>
          <w:tcPr>
            <w:tcW w:w="3969" w:type="dxa"/>
          </w:tcPr>
          <w:p w14:paraId="4DE67CD8"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459972F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9A6CD5F"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5F217D37"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22CDA0AB"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12B782A9" w14:textId="77777777" w:rsidTr="00304152">
        <w:tc>
          <w:tcPr>
            <w:tcW w:w="2830" w:type="dxa"/>
          </w:tcPr>
          <w:p w14:paraId="2ADD874A" w14:textId="14CF4B84" w:rsidR="00EB0F1A" w:rsidRPr="003758F7" w:rsidRDefault="009156E4" w:rsidP="00304152">
            <w:pPr>
              <w:pStyle w:val="TextoTablas"/>
              <w:rPr>
                <w:lang w:val="es-CO"/>
              </w:rPr>
            </w:pPr>
            <w:r w:rsidRPr="009156E4">
              <w:rPr>
                <w:lang w:val="es-CO"/>
              </w:rPr>
              <w:t>Paola Andrea Tello Zambrano</w:t>
            </w:r>
          </w:p>
        </w:tc>
        <w:tc>
          <w:tcPr>
            <w:tcW w:w="3261" w:type="dxa"/>
          </w:tcPr>
          <w:p w14:paraId="0F9BF5E1" w14:textId="51E9967E" w:rsidR="00EB0F1A" w:rsidRPr="003758F7" w:rsidRDefault="00EB0F1A" w:rsidP="00304152">
            <w:pPr>
              <w:pStyle w:val="TextoTablas"/>
              <w:rPr>
                <w:lang w:val="es-CO"/>
              </w:rPr>
            </w:pPr>
            <w:r>
              <w:rPr>
                <w:lang w:val="es-CO"/>
              </w:rPr>
              <w:t>E</w:t>
            </w:r>
            <w:r w:rsidRPr="00CF02EB">
              <w:rPr>
                <w:lang w:val="es-CO"/>
              </w:rPr>
              <w:t>xpert</w:t>
            </w:r>
            <w:r w:rsidR="009156E4">
              <w:rPr>
                <w:lang w:val="es-CO"/>
              </w:rPr>
              <w:t>a</w:t>
            </w:r>
            <w:r w:rsidRPr="00CF02EB">
              <w:rPr>
                <w:lang w:val="es-CO"/>
              </w:rPr>
              <w:t xml:space="preserve"> temátic</w:t>
            </w:r>
            <w:r w:rsidR="009156E4">
              <w:rPr>
                <w:lang w:val="es-CO"/>
              </w:rPr>
              <w:t>a</w:t>
            </w:r>
          </w:p>
        </w:tc>
        <w:tc>
          <w:tcPr>
            <w:tcW w:w="3969" w:type="dxa"/>
          </w:tcPr>
          <w:p w14:paraId="6D3483F7"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24ABB178"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51C3E79" w14:textId="1BED143C" w:rsidR="00EB0F1A" w:rsidRPr="003758F7" w:rsidRDefault="009156E4" w:rsidP="00304152">
            <w:pPr>
              <w:pStyle w:val="TextoTablas"/>
              <w:rPr>
                <w:lang w:val="es-CO"/>
              </w:rPr>
            </w:pPr>
            <w:r w:rsidRPr="009156E4">
              <w:rPr>
                <w:lang w:val="es-CO"/>
              </w:rPr>
              <w:t>Paola Alexandra Moya Peralta</w:t>
            </w:r>
          </w:p>
        </w:tc>
        <w:tc>
          <w:tcPr>
            <w:tcW w:w="3261" w:type="dxa"/>
          </w:tcPr>
          <w:p w14:paraId="479580D2"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4D7BE276"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61D0B328" w14:textId="77777777" w:rsidTr="00304152">
        <w:tc>
          <w:tcPr>
            <w:tcW w:w="2830" w:type="dxa"/>
          </w:tcPr>
          <w:p w14:paraId="69C411F2" w14:textId="1D6D0312" w:rsidR="00EB0F1A" w:rsidRPr="003758F7" w:rsidRDefault="009156E4" w:rsidP="00304152">
            <w:pPr>
              <w:pStyle w:val="TextoTablas"/>
              <w:rPr>
                <w:lang w:val="es-CO"/>
              </w:rPr>
            </w:pPr>
            <w:r w:rsidRPr="009156E4">
              <w:rPr>
                <w:lang w:val="es-CO"/>
              </w:rPr>
              <w:t xml:space="preserve">Carlos </w:t>
            </w:r>
            <w:proofErr w:type="spellStart"/>
            <w:r w:rsidRPr="009156E4">
              <w:rPr>
                <w:lang w:val="es-CO"/>
              </w:rPr>
              <w:t>Julian</w:t>
            </w:r>
            <w:proofErr w:type="spellEnd"/>
            <w:r w:rsidRPr="009156E4">
              <w:rPr>
                <w:lang w:val="es-CO"/>
              </w:rPr>
              <w:t xml:space="preserve"> </w:t>
            </w:r>
            <w:proofErr w:type="spellStart"/>
            <w:r w:rsidRPr="009156E4">
              <w:rPr>
                <w:lang w:val="es-CO"/>
              </w:rPr>
              <w:t>Ramirez</w:t>
            </w:r>
            <w:proofErr w:type="spellEnd"/>
            <w:r w:rsidRPr="009156E4">
              <w:rPr>
                <w:lang w:val="es-CO"/>
              </w:rPr>
              <w:t xml:space="preserve"> </w:t>
            </w:r>
            <w:proofErr w:type="spellStart"/>
            <w:r w:rsidRPr="009156E4">
              <w:rPr>
                <w:lang w:val="es-CO"/>
              </w:rPr>
              <w:t>Benitez</w:t>
            </w:r>
            <w:proofErr w:type="spellEnd"/>
          </w:p>
        </w:tc>
        <w:tc>
          <w:tcPr>
            <w:tcW w:w="3261" w:type="dxa"/>
          </w:tcPr>
          <w:p w14:paraId="21F16A73"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458D891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AAEA66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E75FF24" w14:textId="39D456F7" w:rsidR="00EB0F1A" w:rsidRPr="0015518A" w:rsidRDefault="009156E4" w:rsidP="00304152">
            <w:pPr>
              <w:pStyle w:val="TextoTablas"/>
            </w:pPr>
            <w:r w:rsidRPr="009156E4">
              <w:t>Robinson Javier Ordoñez Barreiro</w:t>
            </w:r>
          </w:p>
        </w:tc>
        <w:tc>
          <w:tcPr>
            <w:tcW w:w="3261" w:type="dxa"/>
          </w:tcPr>
          <w:p w14:paraId="2FC9DA5A"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DCA731A"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20038AB" w14:textId="77777777" w:rsidTr="00304152">
        <w:tc>
          <w:tcPr>
            <w:tcW w:w="2830" w:type="dxa"/>
          </w:tcPr>
          <w:p w14:paraId="693398B5" w14:textId="77777777" w:rsidR="00EB0F1A" w:rsidRPr="00EE3C30" w:rsidRDefault="00EB0F1A" w:rsidP="00304152">
            <w:pPr>
              <w:pStyle w:val="TextoTablas"/>
            </w:pPr>
            <w:r w:rsidRPr="00F412AC">
              <w:t>Alejandro Delgado Acosta</w:t>
            </w:r>
          </w:p>
        </w:tc>
        <w:tc>
          <w:tcPr>
            <w:tcW w:w="3261" w:type="dxa"/>
          </w:tcPr>
          <w:p w14:paraId="7B765448" w14:textId="77777777" w:rsidR="00EB0F1A" w:rsidRDefault="00EB0F1A" w:rsidP="00304152">
            <w:pPr>
              <w:pStyle w:val="TextoTablas"/>
              <w:rPr>
                <w:lang w:val="es-CO"/>
              </w:rPr>
            </w:pPr>
            <w:r w:rsidRPr="00F412AC">
              <w:rPr>
                <w:lang w:val="es-CO"/>
              </w:rPr>
              <w:t>Intérprete lenguaje de señas </w:t>
            </w:r>
          </w:p>
        </w:tc>
        <w:tc>
          <w:tcPr>
            <w:tcW w:w="3969" w:type="dxa"/>
          </w:tcPr>
          <w:p w14:paraId="058C4A04"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47C9BEF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D8AE153" w14:textId="77777777" w:rsidR="00EB0F1A" w:rsidRPr="00F412AC" w:rsidRDefault="00EB0F1A" w:rsidP="00304152">
            <w:pPr>
              <w:pStyle w:val="TextoTablas"/>
            </w:pPr>
            <w:r w:rsidRPr="004538F5">
              <w:t>Cristhian Giovanni Gordillo Segura</w:t>
            </w:r>
          </w:p>
        </w:tc>
        <w:tc>
          <w:tcPr>
            <w:tcW w:w="3261" w:type="dxa"/>
          </w:tcPr>
          <w:p w14:paraId="23F2E187"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37C2D09C"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49ABC9F9" w14:textId="77777777" w:rsidTr="00304152">
        <w:tc>
          <w:tcPr>
            <w:tcW w:w="2830" w:type="dxa"/>
          </w:tcPr>
          <w:p w14:paraId="21B0292E"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7E289190"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756548EE"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04086AE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E702481"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0F355AE8"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0CED3B4B"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50EB3DB6" w14:textId="77777777" w:rsidTr="00304152">
        <w:tc>
          <w:tcPr>
            <w:tcW w:w="2830" w:type="dxa"/>
          </w:tcPr>
          <w:p w14:paraId="51F95A9C"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615EBD6" w14:textId="77777777" w:rsidR="00EB0F1A" w:rsidRPr="00EE3C30" w:rsidRDefault="00EB0F1A" w:rsidP="00304152">
            <w:pPr>
              <w:pStyle w:val="TextoTablas"/>
              <w:rPr>
                <w:lang w:val="es-CO"/>
              </w:rPr>
            </w:pPr>
            <w:r w:rsidRPr="00F83748">
              <w:rPr>
                <w:lang w:val="es-CO"/>
              </w:rPr>
              <w:t>Locución</w:t>
            </w:r>
          </w:p>
        </w:tc>
        <w:tc>
          <w:tcPr>
            <w:tcW w:w="3969" w:type="dxa"/>
          </w:tcPr>
          <w:p w14:paraId="7205506C"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647B8F6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BAB6055" w14:textId="77777777" w:rsidR="00EB0F1A" w:rsidRPr="00AD6EBB" w:rsidRDefault="00EB0F1A" w:rsidP="00304152">
            <w:pPr>
              <w:pStyle w:val="TextoTablas"/>
              <w:rPr>
                <w:lang w:val="es-CO"/>
              </w:rPr>
            </w:pPr>
            <w:r w:rsidRPr="00AD6EBB">
              <w:rPr>
                <w:lang w:val="es-CO"/>
              </w:rPr>
              <w:t>German Acosta Ramos</w:t>
            </w:r>
          </w:p>
        </w:tc>
        <w:tc>
          <w:tcPr>
            <w:tcW w:w="3261" w:type="dxa"/>
          </w:tcPr>
          <w:p w14:paraId="289B8854" w14:textId="77777777" w:rsidR="00EB0F1A" w:rsidRPr="00F83748" w:rsidRDefault="00EB0F1A" w:rsidP="00304152">
            <w:pPr>
              <w:pStyle w:val="TextoTablas"/>
              <w:rPr>
                <w:lang w:val="es-CO"/>
              </w:rPr>
            </w:pPr>
            <w:r w:rsidRPr="00AD6EBB">
              <w:rPr>
                <w:lang w:val="es-CO"/>
              </w:rPr>
              <w:t>Locución</w:t>
            </w:r>
          </w:p>
        </w:tc>
        <w:tc>
          <w:tcPr>
            <w:tcW w:w="3969" w:type="dxa"/>
          </w:tcPr>
          <w:p w14:paraId="71C9C445"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54866A78" w14:textId="77777777" w:rsidTr="00304152">
        <w:tc>
          <w:tcPr>
            <w:tcW w:w="2830" w:type="dxa"/>
          </w:tcPr>
          <w:p w14:paraId="7338C0C6"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634856C7"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6935EB07"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61DD15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3AF7242"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3CBF20B3"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0B563AE3"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9B96CFB" w14:textId="77777777" w:rsidTr="00304152">
        <w:tc>
          <w:tcPr>
            <w:tcW w:w="2830" w:type="dxa"/>
          </w:tcPr>
          <w:p w14:paraId="40F5876B"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2658FB46"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3EAC7962"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72664DE"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996C4DB"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080AE027"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2445DC6F"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06F86AA0"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38F9B" w14:textId="77777777" w:rsidR="009128B5" w:rsidRPr="003758F7" w:rsidRDefault="009128B5" w:rsidP="00EC0858">
      <w:pPr>
        <w:spacing w:before="0" w:after="0" w:line="240" w:lineRule="auto"/>
      </w:pPr>
      <w:r w:rsidRPr="003758F7">
        <w:separator/>
      </w:r>
    </w:p>
  </w:endnote>
  <w:endnote w:type="continuationSeparator" w:id="0">
    <w:p w14:paraId="3C2C9322" w14:textId="77777777" w:rsidR="009128B5" w:rsidRPr="003758F7" w:rsidRDefault="009128B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5E8522AF"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34907728"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84B88" w14:textId="77777777" w:rsidR="009128B5" w:rsidRPr="003758F7" w:rsidRDefault="009128B5" w:rsidP="00EC0858">
      <w:pPr>
        <w:spacing w:before="0" w:after="0" w:line="240" w:lineRule="auto"/>
      </w:pPr>
      <w:r w:rsidRPr="003758F7">
        <w:separator/>
      </w:r>
    </w:p>
  </w:footnote>
  <w:footnote w:type="continuationSeparator" w:id="0">
    <w:p w14:paraId="0A11705A" w14:textId="77777777" w:rsidR="009128B5" w:rsidRPr="003758F7" w:rsidRDefault="009128B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C1F79"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0598E909" wp14:editId="5630A65B">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57"/>
  </w:num>
  <w:num w:numId="2" w16cid:durableId="1585263860">
    <w:abstractNumId w:val="0"/>
  </w:num>
  <w:num w:numId="3" w16cid:durableId="1338381655">
    <w:abstractNumId w:val="15"/>
  </w:num>
  <w:num w:numId="4" w16cid:durableId="1532257930">
    <w:abstractNumId w:val="36"/>
  </w:num>
  <w:num w:numId="5" w16cid:durableId="998075588">
    <w:abstractNumId w:val="25"/>
  </w:num>
  <w:num w:numId="6" w16cid:durableId="1376001146">
    <w:abstractNumId w:val="22"/>
  </w:num>
  <w:num w:numId="7" w16cid:durableId="2133396757">
    <w:abstractNumId w:val="14"/>
  </w:num>
  <w:num w:numId="8" w16cid:durableId="756174261">
    <w:abstractNumId w:val="50"/>
  </w:num>
  <w:num w:numId="9" w16cid:durableId="1113985598">
    <w:abstractNumId w:val="56"/>
  </w:num>
  <w:num w:numId="10" w16cid:durableId="1016080757">
    <w:abstractNumId w:val="26"/>
  </w:num>
  <w:num w:numId="11" w16cid:durableId="1953049631">
    <w:abstractNumId w:val="39"/>
  </w:num>
  <w:num w:numId="12" w16cid:durableId="1183977757">
    <w:abstractNumId w:val="32"/>
  </w:num>
  <w:num w:numId="13" w16cid:durableId="82263234">
    <w:abstractNumId w:val="18"/>
  </w:num>
  <w:num w:numId="14" w16cid:durableId="1706246404">
    <w:abstractNumId w:val="48"/>
  </w:num>
  <w:num w:numId="15" w16cid:durableId="2101020185">
    <w:abstractNumId w:val="19"/>
  </w:num>
  <w:num w:numId="16" w16cid:durableId="117995670">
    <w:abstractNumId w:val="51"/>
  </w:num>
  <w:num w:numId="17" w16cid:durableId="545994998">
    <w:abstractNumId w:val="44"/>
  </w:num>
  <w:num w:numId="18" w16cid:durableId="1215197741">
    <w:abstractNumId w:val="7"/>
  </w:num>
  <w:num w:numId="19" w16cid:durableId="1914120474">
    <w:abstractNumId w:val="6"/>
  </w:num>
  <w:num w:numId="20" w16cid:durableId="1231036853">
    <w:abstractNumId w:val="42"/>
  </w:num>
  <w:num w:numId="21" w16cid:durableId="1553736544">
    <w:abstractNumId w:val="35"/>
  </w:num>
  <w:num w:numId="22" w16cid:durableId="1503473995">
    <w:abstractNumId w:val="41"/>
  </w:num>
  <w:num w:numId="23" w16cid:durableId="429357559">
    <w:abstractNumId w:val="29"/>
  </w:num>
  <w:num w:numId="24" w16cid:durableId="1449810729">
    <w:abstractNumId w:val="49"/>
  </w:num>
  <w:num w:numId="25" w16cid:durableId="485321950">
    <w:abstractNumId w:val="31"/>
  </w:num>
  <w:num w:numId="26" w16cid:durableId="938950228">
    <w:abstractNumId w:val="47"/>
  </w:num>
  <w:num w:numId="27" w16cid:durableId="1176307708">
    <w:abstractNumId w:val="8"/>
  </w:num>
  <w:num w:numId="28" w16cid:durableId="493834882">
    <w:abstractNumId w:val="9"/>
  </w:num>
  <w:num w:numId="29" w16cid:durableId="2061317683">
    <w:abstractNumId w:val="3"/>
  </w:num>
  <w:num w:numId="30" w16cid:durableId="1223365928">
    <w:abstractNumId w:val="34"/>
  </w:num>
  <w:num w:numId="31" w16cid:durableId="288097409">
    <w:abstractNumId w:val="4"/>
  </w:num>
  <w:num w:numId="32" w16cid:durableId="1473212690">
    <w:abstractNumId w:val="5"/>
  </w:num>
  <w:num w:numId="33" w16cid:durableId="321861673">
    <w:abstractNumId w:val="24"/>
  </w:num>
  <w:num w:numId="34" w16cid:durableId="1924334846">
    <w:abstractNumId w:val="27"/>
  </w:num>
  <w:num w:numId="35" w16cid:durableId="1402554812">
    <w:abstractNumId w:val="45"/>
  </w:num>
  <w:num w:numId="36" w16cid:durableId="1907184017">
    <w:abstractNumId w:val="55"/>
  </w:num>
  <w:num w:numId="37" w16cid:durableId="1496458127">
    <w:abstractNumId w:val="37"/>
  </w:num>
  <w:num w:numId="38" w16cid:durableId="2125270714">
    <w:abstractNumId w:val="12"/>
  </w:num>
  <w:num w:numId="39" w16cid:durableId="978076356">
    <w:abstractNumId w:val="21"/>
  </w:num>
  <w:num w:numId="40" w16cid:durableId="54814587">
    <w:abstractNumId w:val="13"/>
  </w:num>
  <w:num w:numId="41" w16cid:durableId="1764061172">
    <w:abstractNumId w:val="20"/>
  </w:num>
  <w:num w:numId="42" w16cid:durableId="1534223432">
    <w:abstractNumId w:val="46"/>
  </w:num>
  <w:num w:numId="43" w16cid:durableId="1535147698">
    <w:abstractNumId w:val="52"/>
  </w:num>
  <w:num w:numId="44" w16cid:durableId="1853641876">
    <w:abstractNumId w:val="43"/>
  </w:num>
  <w:num w:numId="45" w16cid:durableId="1183477216">
    <w:abstractNumId w:val="1"/>
  </w:num>
  <w:num w:numId="46" w16cid:durableId="574751939">
    <w:abstractNumId w:val="38"/>
  </w:num>
  <w:num w:numId="47" w16cid:durableId="1472550995">
    <w:abstractNumId w:val="28"/>
  </w:num>
  <w:num w:numId="48" w16cid:durableId="1642612658">
    <w:abstractNumId w:val="17"/>
  </w:num>
  <w:num w:numId="49" w16cid:durableId="1935093713">
    <w:abstractNumId w:val="16"/>
  </w:num>
  <w:num w:numId="50" w16cid:durableId="2106994655">
    <w:abstractNumId w:val="23"/>
  </w:num>
  <w:num w:numId="51" w16cid:durableId="283314169">
    <w:abstractNumId w:val="58"/>
  </w:num>
  <w:num w:numId="52" w16cid:durableId="138768257">
    <w:abstractNumId w:val="2"/>
  </w:num>
  <w:num w:numId="53" w16cid:durableId="905997312">
    <w:abstractNumId w:val="11"/>
  </w:num>
  <w:num w:numId="54" w16cid:durableId="1956712314">
    <w:abstractNumId w:val="53"/>
  </w:num>
  <w:num w:numId="55" w16cid:durableId="798457108">
    <w:abstractNumId w:val="30"/>
  </w:num>
  <w:num w:numId="56" w16cid:durableId="363486382">
    <w:abstractNumId w:val="33"/>
  </w:num>
  <w:num w:numId="57" w16cid:durableId="2035495517">
    <w:abstractNumId w:val="40"/>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2C84"/>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4D62"/>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708"/>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45BD"/>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B6F45"/>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2C5F"/>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3DF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A04"/>
    <w:rsid w:val="00781D51"/>
    <w:rsid w:val="00782BF9"/>
    <w:rsid w:val="00784E48"/>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28B5"/>
    <w:rsid w:val="00913353"/>
    <w:rsid w:val="00913AA2"/>
    <w:rsid w:val="00913EEF"/>
    <w:rsid w:val="009156E4"/>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10A"/>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06C7"/>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4DB9"/>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4259"/>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30D0D"/>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BxyFXfck2w" TargetMode="External"/><Relationship Id="rId18" Type="http://schemas.openxmlformats.org/officeDocument/2006/relationships/hyperlink" Target="https://www.colpensiones.gov.co/pensiones/publicaciones/120/que-es-el-rpm/" TargetMode="External"/><Relationship Id="rId26" Type="http://schemas.openxmlformats.org/officeDocument/2006/relationships/hyperlink" Target="https://www.minsalud.gov.co/sites/rid/Lists/BibliotecaDigital/RIDE/DE/OT/Anexo-tecnico-2-2016-pila.pdf" TargetMode="External"/><Relationship Id="rId3" Type="http://schemas.openxmlformats.org/officeDocument/2006/relationships/customXml" Target="../customXml/item3.xml"/><Relationship Id="rId21" Type="http://schemas.openxmlformats.org/officeDocument/2006/relationships/hyperlink" Target="https://www.suin-juriscol.gov.co/viewDocument.asp?id=1630866"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colpensiones.gov.co/educacion/publicaciones/2849/como-aportar-a-pension/" TargetMode="External"/><Relationship Id="rId25" Type="http://schemas.openxmlformats.org/officeDocument/2006/relationships/hyperlink" Target="https://www.minsalud.gov.co/Normatividad_Nuevo/Resoluci&#243;n%202388%20de%202016.pdf" TargetMode="External"/><Relationship Id="rId2" Type="http://schemas.openxmlformats.org/officeDocument/2006/relationships/customXml" Target="../customXml/item2.xml"/><Relationship Id="rId16" Type="http://schemas.openxmlformats.org/officeDocument/2006/relationships/hyperlink" Target="https://www.colpensiones.gov.co/preguntas-frecuentes/297/historia-laboral/" TargetMode="External"/><Relationship Id="rId20" Type="http://schemas.openxmlformats.org/officeDocument/2006/relationships/hyperlink" Target="https://www.suin-juriscol.gov.co/viewDocument.asp?id=1556008"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Proteccion-Social/Paginas/pila.aspx"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minsalud.gov.co/Proteccion-Social/Paginas/contacto-operadores-pila.aspx"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funcionpublica.gov.co/eva/gestornormativo/norma.php?i=199983"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suin-juriscol.gov.co/viewDocument.asp?ruta=Leyes%2F1604809" TargetMode="External"/><Relationship Id="rId27" Type="http://schemas.openxmlformats.org/officeDocument/2006/relationships/hyperlink" Target="https://www.minsalud.gov.co/Proteccion-Social/RiesgosLaborales/Paginas/sistema-general-pensiones.aspx"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B3FDADE8-4DE3-43E7-A9B0-F92257053762}"/>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3147</TotalTime>
  <Pages>83</Pages>
  <Words>17697</Words>
  <Characters>97338</Characters>
  <Application>Microsoft Office Word</Application>
  <DocSecurity>0</DocSecurity>
  <Lines>811</Lines>
  <Paragraphs>229</Paragraphs>
  <ScaleCrop>false</ScaleCrop>
  <HeadingPairs>
    <vt:vector size="2" baseType="variant">
      <vt:variant>
        <vt:lpstr>Título</vt:lpstr>
      </vt:variant>
      <vt:variant>
        <vt:i4>1</vt:i4>
      </vt:variant>
    </vt:vector>
  </HeadingPairs>
  <TitlesOfParts>
    <vt:vector size="1" baseType="lpstr">
      <vt:lpstr>Fundamentos Ambientales para el Diagnóstico Predial</vt:lpstr>
    </vt:vector>
  </TitlesOfParts>
  <Company/>
  <LinksUpToDate>false</LinksUpToDate>
  <CharactersWithSpaces>114806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Liquidación, pago y control de nómina</dc:title>
  <dc:subject/>
  <dc:creator>SENA</dc:creator>
  <cp:keywords/>
  <dc:description/>
  <cp:lastModifiedBy>Daniel Mutis</cp:lastModifiedBy>
  <cp:revision>756</cp:revision>
  <cp:lastPrinted>2026-10-30T23:32:00Z</cp:lastPrinted>
  <dcterms:created xsi:type="dcterms:W3CDTF">2025-06-12T03:38:00Z</dcterms:created>
  <dcterms:modified xsi:type="dcterms:W3CDTF">2026-10-30T23:32:00Z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