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ACTIVIDADES DIDÁCTICAS (OPCIONALES SI SON SUGERIDAS)</w:t>
      </w:r>
    </w:p>
    <w:p w:rsidR="00000000" w:rsidDel="00000000" w:rsidP="00000000" w:rsidRDefault="00000000" w:rsidRPr="00000000" w14:paraId="00000002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0.0" w:type="dxa"/>
        <w:tblLayout w:type="fixed"/>
        <w:tblLook w:val="0400"/>
      </w:tblPr>
      <w:tblGrid>
        <w:gridCol w:w="2834"/>
        <w:gridCol w:w="6707"/>
        <w:tblGridChange w:id="0">
          <w:tblGrid>
            <w:gridCol w:w="2834"/>
            <w:gridCol w:w="6707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 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Sopa de letras relacionada con palabras técnicas de la arquitectura tecnológica en la nube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Identificar algunas palabras relacionadas con las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especificaciones técnicas para la arquitectura tecnológica en nube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Sopa de letras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Anexos, actividad 1 CF003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Desarrollo de la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actividad planteada consiste en organizar dos columnas en una se deben poner los términos y en otra columna aparte las definiciones, el objetivo es que el aprendiz haga la unión entre </w:t>
      </w:r>
      <w:r w:rsidDel="00000000" w:rsidR="00000000" w:rsidRPr="00000000">
        <w:rPr>
          <w:sz w:val="20"/>
          <w:szCs w:val="20"/>
          <w:rtl w:val="0"/>
        </w:rPr>
        <w:t xml:space="preserve">término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 definición, de esta manera podrá hacer un repaso general del desarrollo de este componente formativo.</w:t>
      </w:r>
    </w:p>
    <w:p w:rsidR="00000000" w:rsidDel="00000000" w:rsidP="00000000" w:rsidRDefault="00000000" w:rsidRPr="00000000" w14:paraId="00000012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274"/>
        <w:gridCol w:w="718"/>
        <w:gridCol w:w="4344"/>
        <w:tblGridChange w:id="0">
          <w:tblGrid>
            <w:gridCol w:w="3256"/>
            <w:gridCol w:w="274"/>
            <w:gridCol w:w="718"/>
            <w:gridCol w:w="434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11111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Recursos en la nube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" w:right="119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ff66" w:val="clear"/>
                <w:vertAlign w:val="baseline"/>
                <w:rtl w:val="0"/>
              </w:rPr>
              <w:t xml:space="preserve">Es la acción de contratar, abastecer o asignar recursos computacionales durante un periodo de tiempo determinado. De igual manera estos recursos pueden ser liberados de acuerdo a  la necesidad del usuario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4"/>
              </w:tabs>
              <w:spacing w:after="0" w:before="0" w:line="225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11111"/>
                <w:sz w:val="20"/>
                <w:szCs w:val="20"/>
                <w:highlight w:val="cyan"/>
                <w:u w:val="none"/>
                <w:vertAlign w:val="baseline"/>
                <w:rtl w:val="0"/>
              </w:rPr>
              <w:t xml:space="preserve">Almacenamiento en la nube</w:t>
            </w:r>
            <w:r w:rsidDel="00000000" w:rsidR="00000000" w:rsidRPr="00000000">
              <w:rPr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fill="fafaf3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03" w:right="0" w:hanging="360"/>
              <w:jc w:val="both"/>
              <w:rPr>
                <w:b w:val="1"/>
                <w:i w:val="0"/>
                <w:smallCaps w:val="0"/>
                <w:strike w:val="0"/>
                <w:color w:val="2e75b5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El uso de las herramientas cloud computing o herramientas en la nube está presente en distintas fases de la vida de una empresa u organización.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4"/>
              </w:tabs>
              <w:spacing w:after="0" w:before="0" w:line="225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Nodo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afaf3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03" w:right="0" w:hanging="360"/>
              <w:jc w:val="both"/>
              <w:rPr>
                <w:b w:val="1"/>
                <w:i w:val="0"/>
                <w:smallCaps w:val="0"/>
                <w:strike w:val="0"/>
                <w:color w:val="006699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66ff" w:val="clear"/>
                <w:vertAlign w:val="baseline"/>
                <w:rtl w:val="0"/>
              </w:rPr>
              <w:t xml:space="preserve">Hace referencia a que, desde diferentes dispositivos, desde cualquier lugar y en cualquier momento, es posible acceder a los servicios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4"/>
              </w:tabs>
              <w:spacing w:after="0" w:before="0" w:line="225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highlight w:val="magenta"/>
                <w:u w:val="none"/>
                <w:vertAlign w:val="baseline"/>
                <w:rtl w:val="0"/>
              </w:rPr>
              <w:t xml:space="preserve">Función de infraestructura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afaf3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03" w:right="0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highlight w:val="magenta"/>
                <w:u w:val="none"/>
                <w:vertAlign w:val="baseline"/>
                <w:rtl w:val="0"/>
              </w:rPr>
              <w:t xml:space="preserve">Un elemento de comportamiento de los grupos de infraestructura, que puede ser mejorado por un nodo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4"/>
              </w:tabs>
              <w:spacing w:after="0" w:before="0" w:line="225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4b083" w:val="clear"/>
                <w:vertAlign w:val="baseline"/>
                <w:rtl w:val="0"/>
              </w:rPr>
              <w:t xml:space="preserve">Acceso por demanda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afaf3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3" w:right="479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4b083" w:val="clear"/>
                <w:vertAlign w:val="baseline"/>
                <w:rtl w:val="0"/>
              </w:rPr>
              <w:t xml:space="preserve">Hace referencia a que se encuentra disponible cuando el cliente requiere el servicio, lo que </w:t>
            </w:r>
            <w:r w:rsidDel="00000000" w:rsidR="00000000" w:rsidRPr="00000000">
              <w:rPr>
                <w:sz w:val="20"/>
                <w:szCs w:val="20"/>
                <w:shd w:fill="f4b083" w:val="clear"/>
                <w:rtl w:val="0"/>
              </w:rPr>
              <w:t xml:space="preserve">implica el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4b083" w:val="clear"/>
                <w:vertAlign w:val="baseline"/>
                <w:rtl w:val="0"/>
              </w:rPr>
              <w:t xml:space="preserve"> ofrecimiento de una rápida capacidad de respuesta por parte de proveedores. Es decir, acceso bajo pedido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4"/>
              </w:tabs>
              <w:spacing w:after="0" w:before="0" w:line="225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66ff" w:val="clear"/>
                <w:vertAlign w:val="baseline"/>
                <w:rtl w:val="0"/>
              </w:rPr>
              <w:t xml:space="preserve">Acceso ubicuo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afaf3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03" w:right="0" w:hanging="360"/>
              <w:jc w:val="both"/>
              <w:rPr>
                <w:b w:val="1"/>
                <w:i w:val="0"/>
                <w:smallCaps w:val="0"/>
                <w:strike w:val="0"/>
                <w:color w:val="ffc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Un recurso computacional sobre el cual los artefactos pueden ser almacenados o desplegados para su ejecución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4"/>
              </w:tabs>
              <w:spacing w:after="0" w:before="0" w:line="225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cff66" w:val="clear"/>
                <w:vertAlign w:val="baseline"/>
                <w:rtl w:val="0"/>
              </w:rPr>
              <w:t xml:space="preserve">Aprovisionar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afaf3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03" w:right="0" w:hanging="360"/>
              <w:jc w:val="both"/>
              <w:rPr>
                <w:b w:val="1"/>
                <w:i w:val="0"/>
                <w:smallCaps w:val="0"/>
                <w:strike w:val="0"/>
                <w:color w:val="006699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11111"/>
                <w:sz w:val="20"/>
                <w:szCs w:val="20"/>
                <w:highlight w:val="cyan"/>
                <w:u w:val="none"/>
                <w:vertAlign w:val="baseline"/>
                <w:rtl w:val="0"/>
              </w:rPr>
              <w:t xml:space="preserve">Es un almacenamiento fuera del sitio que mantiene un tercero.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Para mayor claridad de las respuestas: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96.0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4"/>
        <w:gridCol w:w="425"/>
        <w:gridCol w:w="567"/>
        <w:tblGridChange w:id="0">
          <w:tblGrid>
            <w:gridCol w:w="704"/>
            <w:gridCol w:w="425"/>
            <w:gridCol w:w="5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</w:t>
            </w:r>
          </w:p>
        </w:tc>
      </w:tr>
    </w:tbl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Hay varias palabras que integran el componente de especificaciones técnicas para la arquitectura tecnológica en nube, busca detenidamente y podrás comprobar que te resultará sencillo, si has tenido atención en los temas vistos, te será muy fácil.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encuentras que tiene algo de complejidad, te invito a repasar los temas, recuerda que estos serán de suma importancia en tu desarrollo laboral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4191"/>
    <w:pPr>
      <w:suppressAutoHyphens w:val="1"/>
      <w:spacing w:after="0" w:line="276" w:lineRule="auto"/>
    </w:pPr>
    <w:rPr>
      <w:rFonts w:ascii="Arial" w:cs="Arial" w:eastAsia="Arial" w:hAnsi="Arial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6141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 w:val="1"/>
    <w:rsid w:val="00614191"/>
    <w:pPr>
      <w:widowControl w:val="0"/>
      <w:suppressAutoHyphens w:val="0"/>
      <w:autoSpaceDE w:val="0"/>
      <w:autoSpaceDN w:val="0"/>
      <w:spacing w:line="240" w:lineRule="auto"/>
    </w:pPr>
    <w:rPr>
      <w:rFonts w:ascii="Times New Roman" w:cs="Times New Roman" w:eastAsia="Times New Roman" w:hAnsi="Times New Roman"/>
      <w:sz w:val="20"/>
      <w:szCs w:val="20"/>
      <w:lang w:eastAsia="en-US"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614191"/>
    <w:rPr>
      <w:rFonts w:ascii="Times New Roman" w:cs="Times New Roman" w:eastAsia="Times New Roman" w:hAnsi="Times New Roman"/>
      <w:sz w:val="20"/>
      <w:szCs w:val="20"/>
      <w:lang w:val="es-ES"/>
    </w:rPr>
  </w:style>
  <w:style w:type="paragraph" w:styleId="TableParagraph" w:customStyle="1">
    <w:name w:val="Table Paragraph"/>
    <w:basedOn w:val="Normal"/>
    <w:uiPriority w:val="1"/>
    <w:qFormat w:val="1"/>
    <w:rsid w:val="00614191"/>
    <w:pPr>
      <w:widowControl w:val="0"/>
      <w:suppressAutoHyphens w:val="0"/>
      <w:autoSpaceDE w:val="0"/>
      <w:autoSpaceDN w:val="0"/>
      <w:spacing w:line="240" w:lineRule="auto"/>
      <w:ind w:left="107"/>
    </w:pPr>
    <w:rPr>
      <w:rFonts w:ascii="Arial MT" w:cs="Arial MT" w:eastAsia="Arial MT" w:hAnsi="Arial MT"/>
      <w:lang w:eastAsia="en-US" w:val="es-ES"/>
    </w:rPr>
  </w:style>
  <w:style w:type="table" w:styleId="Tablaconcuadrcula">
    <w:name w:val="Table Grid"/>
    <w:basedOn w:val="Tablanormal"/>
    <w:uiPriority w:val="39"/>
    <w:rsid w:val="00614191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614191"/>
    <w:pPr>
      <w:suppressAutoHyphens w:val="0"/>
      <w:ind w:left="720"/>
      <w:contextualSpacing w:val="1"/>
    </w:pPr>
    <w:rPr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TIDe4JcjYq8MIoych5cbPwh4JQ==">AMUW2mVGbgGVqdihDfX4eCvr8XH01BLc32Dzo/J2cKc5Xh7TAfI1tFN5JgxpM3Kammgd10iHNSG4oVhvriQn59szVQxy1Q43S5jXCzDxFMO5mS5eWHlBH9rznZBungpNGf/UHCNqb4XO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2021-12-29T18:37:00Z</dcterms:created>
  <dc:creator>María Inés Machado López</dc:creator>
</cp:coreProperties>
</file>