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nts/NotoSansSymbols-regular.ttf" ContentType="application/x-font-ttf"/>
  <Override PartName="/word/fonts/NotoSansSymbols-bold.ttf" ContentType="application/x-font-ttf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header1.xml" ContentType="application/vnd.openxmlformats-officedocument.wordprocessingml.head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007.0" w:type="dxa"/>
        <w:jc w:val="left"/>
        <w:tblInd w:w="-680.0" w:type="dxa"/>
        <w:tblBorders>
          <w:top w:color="f4b083" w:space="0" w:sz="4" w:val="single"/>
          <w:left w:color="f4b083" w:space="0" w:sz="4" w:val="single"/>
          <w:bottom w:color="f4b083" w:space="0" w:sz="4" w:val="single"/>
          <w:right w:color="f4b083" w:space="0" w:sz="4" w:val="single"/>
          <w:insideH w:color="f4b083" w:space="0" w:sz="4" w:val="single"/>
          <w:insideV w:color="f4b083" w:space="0" w:sz="4" w:val="single"/>
        </w:tblBorders>
        <w:tblLayout w:type="fixed"/>
        <w:tblLook w:val="0400"/>
      </w:tblPr>
      <w:tblGrid>
        <w:gridCol w:w="1242"/>
        <w:gridCol w:w="25"/>
        <w:gridCol w:w="117"/>
        <w:gridCol w:w="567"/>
        <w:gridCol w:w="425"/>
        <w:gridCol w:w="158"/>
        <w:gridCol w:w="5087"/>
        <w:gridCol w:w="2693"/>
        <w:gridCol w:w="2693"/>
        <w:tblGridChange w:id="0">
          <w:tblGrid>
            <w:gridCol w:w="1242"/>
            <w:gridCol w:w="25"/>
            <w:gridCol w:w="117"/>
            <w:gridCol w:w="567"/>
            <w:gridCol w:w="425"/>
            <w:gridCol w:w="158"/>
            <w:gridCol w:w="5087"/>
            <w:gridCol w:w="2693"/>
            <w:gridCol w:w="2693"/>
          </w:tblGrid>
        </w:tblGridChange>
      </w:tblGrid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0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1202055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b="0" l="0" r="0" t="0"/>
                  <wp:wrapSquare wrapText="bothSides" distB="0" distT="0" distL="114300" distR="11430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ACTIVIDAD DIDÁCTICA CUESTIONARIO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fde9d9" w:val="clear"/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Generalidades de la actividad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108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aprendiz recibe una retroalimentación cuando responde de manera correcta o incorrecta cada pregunta.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108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Señale en la columna Rta. Correcta con una (x) de acuerdo con las opciones presentadas.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160" w:lineRule="auto"/>
              <w:ind w:left="108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 final de la actividad se muestra una retroalimentación de felicitación si logra el 70% de respuestas correctas o retroalimentación de mejora si es inferior a este porcentaje.</w:t>
            </w:r>
          </w:p>
          <w:p w:rsidR="00000000" w:rsidDel="00000000" w:rsidP="00000000" w:rsidRDefault="00000000" w:rsidRPr="00000000" w14:paraId="00000010">
            <w:pPr>
              <w:spacing w:after="1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Instrucciones para el aprendiz</w:t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>
            <w:r>
              <w:rPr>
                <w:i/>
                <w:sz w:val="19"/>
              </w:rPr>
              <w:t>Esta actividad le permitirá determinar el grado de apropiación de los contenidos del componente formativo: Aplicación de técnicas geoespaciales en la agroforestería.</w:t>
            </w:r>
          </w:p>
          <w:p>
            <w:r>
              <w:rPr>
                <w:i/>
                <w:sz w:val="19"/>
              </w:rPr>
              <w:t>Antes de su realización, se recomienda la lectura del componente formativo mencionado. Es opcional (no es calificable), y puede realizarse todas las veces que se desee.</w:t>
            </w:r>
          </w:p>
          <w:p>
            <w:r>
              <w:rPr>
                <w:i/>
                <w:sz w:val="19"/>
              </w:rPr>
              <w:t>Lea la pregunta de cada ítem y seleccione la respuesta correcta.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de la Actividad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000000"/>
                <w:highlight w:val="yellow"/>
              </w:rPr>
            </w:pPr>
            <w:r>
              <w:rPr>
                <w:b w:val="0"/>
                <w:i w:val="0"/>
                <w:sz w:val="19"/>
              </w:rPr>
              <w:t>Cuestionario: técnicas geoespaciales en la agroforestería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Objetivo de la actividad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b w:val="1"/>
                <w:bCs w:val="1"/>
                <w:highlight w:val="yellow"/>
              </w:rPr>
            </w:pPr>
            <w:r>
              <w:rPr>
                <w:b w:val="0"/>
                <w:i w:val="0"/>
                <w:sz w:val="19"/>
              </w:rPr>
              <w:t>Verificar la apropiación de conceptos, tecnologías, aplicaciones y procesos relacionados con el análisis geoespacial, la captura y procesamiento de información y los índices de vegetación en sistemas agroforestales.</w:t>
            </w:r>
          </w:p>
        </w:tc>
      </w:tr>
      <w:tr>
        <w:trPr>
          <w:cantSplit w:val="1"/>
          <w:tblHeader w:val="0"/>
        </w:trPr>
        <w:tc>
          <w:tcPr>
            <w:gridSpan w:val="8"/>
            <w:shd w:fill="ffe599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PREGUNTAS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</w:t>
            </w:r>
          </w:p>
        </w:tc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highlight w:val="white"/>
                <w:u w:val="none"/>
                <w:vertAlign w:val="baseline"/>
              </w:rPr>
            </w:pPr>
            <w:r>
              <w:rPr>
                <w:b w:val="0"/>
                <w:i w:val="0"/>
                <w:sz w:val="20"/>
              </w:rPr>
              <w:t>¿Cuál descripción corresponde a un sistema agroforestal?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i w:val="0"/>
                <w:sz w:val="20"/>
              </w:rPr>
              <w:t>Arreglo que integra componentes leñosos y no leñosos en un mismo espacio.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i w:val="0"/>
                <w:sz w:val="20"/>
              </w:rPr>
              <w:t>Modelo que separa cultivos y árboles en unidades productivas independientes.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i w:val="0"/>
                <w:sz w:val="20"/>
              </w:rPr>
              <w:t>Esquema que utiliza solo especies forestales para conservar la cobertura.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5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i w:val="0"/>
                <w:sz w:val="20"/>
              </w:rPr>
              <w:t>Sistema que reemplaza los cultivos por infraestructura de manejo territorial.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6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  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06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7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2</w:t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jc w:val="both"/>
              <w:rPr>
                <w:b w:val="1"/>
                <w:bCs w:val="1"/>
                <w:color w:val="000000"/>
              </w:rPr>
            </w:pPr>
            <w:r>
              <w:rPr>
                <w:b w:val="0"/>
                <w:i w:val="0"/>
                <w:sz w:val="20"/>
              </w:rPr>
              <w:t>¿Qué tecnología permite organizar datos en capas temáticas y realizar análisis espaciales?</w:t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D">
            <w:pPr>
              <w:jc w:val="both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7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Los Sistemas Globales de Navegación por Satélite para ubicar coordenadas.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Los Sistemas de Información Geográfica para analizar información espacial.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8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La cartografía digital para consultar mapas mediante aplicaciones móviles.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La teledetección para captar información mediante sensores a distancia.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09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A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A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A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0A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3</w:t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0B2">
            <w:pPr>
              <w:spacing w:after="80" w:lineRule="auto"/>
              <w:rPr/>
            </w:pPr>
            <w:r>
              <w:rPr>
                <w:b w:val="0"/>
                <w:i w:val="0"/>
                <w:sz w:val="20"/>
              </w:rPr>
              <w:t>¿Qué función cumplen principalmente los Sistemas Globales de Navegación por Satélite (GNSS)?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jc w:val="both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Procesar imágenes satelitales para clasificar coberturas de los territorios.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B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Representar mapas digitales para consultar información mediante la web.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Determinar coordenadas geográficas y posicionar elementos del territorio.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C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Analizar bandas espectrales para estimar condiciones de la vegetación.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D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D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0D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E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E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4</w:t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fde9d9" w:val="clear"/>
          </w:tcPr>
          <w:p w:rsidR="00000000" w:rsidDel="00000000" w:rsidP="00000000" w:rsidRDefault="00000000" w:rsidRPr="00000000" w14:paraId="000000EA">
            <w:pPr>
              <w:jc w:val="both"/>
              <w:rPr>
                <w:b w:val="1"/>
                <w:bCs w:val="1"/>
              </w:rPr>
            </w:pPr>
            <w:r>
              <w:rPr>
                <w:b w:val="0"/>
                <w:i w:val="0"/>
                <w:sz w:val="20"/>
              </w:rPr>
              <w:t>¿Qué campo de aplicación emplea información geoespacial para identificar zonas vulnerables a inundaciones, incendios o deslizamientos?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D">
            <w:pPr>
              <w:jc w:val="both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E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0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Gestión ambiental para analizar biodiversidad y cambios de uso del suelo.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F8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Ordenamiento territorial para planificar infraestructura y redes de transporte.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F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00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Agricultura de precisión para gestionar insumos y uso eficiente del agua.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08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Prevención y gestión de riesgos para apoyar la respuesta ante emergencias.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10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1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1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1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11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5</w:t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spacing w:after="80" w:lineRule="auto"/>
              <w:rPr/>
            </w:pPr>
            <w:r>
              <w:rPr>
                <w:b w:val="0"/>
                <w:i w:val="0"/>
                <w:sz w:val="20"/>
              </w:rPr>
              <w:t>¿Qué plataforma ofrece resolución espacial de 10 a 20 metros y una frecuencia aproximada de cinco días?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jc w:val="both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8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Satélite Sentinel-2 para monitoreo periódico de la cobertura forestal.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2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30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Satélite Landsat 8/9 para analizar cambios históricos del uso del suelo.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38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Dron con cámara RGB para delimitar predios e inventariar áreas forestales.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3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40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Dron multiespectral para detectar estrés hídrico en parcelas agrícolas.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4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4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14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6 </w:t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after="80" w:lineRule="auto"/>
              <w:rPr/>
            </w:pPr>
            <w:r>
              <w:rPr>
                <w:b w:val="0"/>
                <w:i w:val="0"/>
                <w:sz w:val="20"/>
              </w:rPr>
              <w:t>¿Qué plataforma se caracteriza por una resolución de 1 a 5 centímetros y puede apoyar la delimitación de predios?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D">
            <w:pPr>
              <w:jc w:val="both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5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0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Satélite Sentinel-2 empleado en el monitoreo periódico de áreas extensas.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5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68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VANT o dron con cámara RGB empleado para levantamientos de alta resolución.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6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70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Satélite Landsat 8/9 utilizado para analizar cambios históricos del territorio.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78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VANT multiespectral utilizado para detectar estrés hídrico y nutricional.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D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17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8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8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8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18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7</w:t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192">
            <w:pPr>
              <w:spacing w:after="80" w:lineRule="auto"/>
              <w:rPr/>
            </w:pPr>
            <w:r>
              <w:rPr>
                <w:b w:val="0"/>
                <w:i w:val="0"/>
                <w:sz w:val="20"/>
              </w:rPr>
              <w:t>¿Qué información pueden obtener los sensores LiDAR en sistemas agroforestales?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5">
            <w:pPr>
              <w:jc w:val="both"/>
              <w:rPr>
                <w:b w:val="1"/>
                <w:bCs w:val="1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96">
            <w:pPr>
              <w:ind w:right="171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9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El color de los cultivos, la textura del suelo y la temperatura ambiental.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D">
            <w:pPr>
              <w:jc w:val="center"/>
              <w:rPr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19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1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El caudal de los ríos, la humedad atmosférica y la velocidad del viento.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5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A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9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La altura de árboles, estructura de copas, densidad del follaje y madera.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1A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1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La ubicación de parcelas, especies forestales y puntos de muestreo del suelo.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5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B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B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1B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C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C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8</w:t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spacing w:after="80" w:lineRule="auto"/>
              <w:rPr/>
            </w:pPr>
            <w:r>
              <w:rPr>
                <w:b w:val="0"/>
                <w:i w:val="0"/>
                <w:sz w:val="20"/>
              </w:rPr>
              <w:t>¿Qué proceso combina datos LiDAR y modelos alométricos dentro del análisis geoespacial?</w:t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CD">
            <w:pPr>
              <w:jc w:val="both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1C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CF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El cálculo de índices espectrales para reconocer condiciones de los cultivos.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5">
            <w:pPr>
              <w:jc w:val="center"/>
              <w:rPr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7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El análisis del relieve para identificar erosión y estudiar el flujo del agua.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D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1D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F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El análisis de cobertura para determinar la radiación que llega a los cultivos.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E5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  <w:i w:val="0"/>
                <w:sz w:val="20"/>
              </w:rPr>
              <w:t>La estimación de biomasa aérea y del carbono almacenado en los árboles.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ED">
            <w:pPr>
              <w:jc w:val="center"/>
              <w:rPr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1E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F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F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F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1F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9</w:t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fde9d9" w:val="clear"/>
          </w:tcPr>
          <w:p w:rsidR="00000000" w:rsidDel="00000000" w:rsidP="00000000" w:rsidRDefault="00000000" w:rsidRPr="00000000" w14:paraId="00000202">
            <w:pPr>
              <w:spacing w:after="80" w:lineRule="auto"/>
              <w:rPr/>
            </w:pPr>
            <w:r>
              <w:rPr>
                <w:b w:val="0"/>
                <w:i w:val="0"/>
                <w:sz w:val="20"/>
              </w:rPr>
              <w:t>¿Qué aplicación de la información geoespacial facilita ubicar cortinas rompevientos, cercas vivas y franjas amortiguadoras?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5">
            <w:pPr>
              <w:jc w:val="both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0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7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El diseño de sistemas agroforestales para favorecer la conservación de recursos.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D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20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F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La agricultura de precisión para aplicar fertilizantes de manera localizada.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15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1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17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El monitoreo de restauración para seguir la recuperación de suelos degradados.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1D">
            <w:pPr>
              <w:jc w:val="center"/>
              <w:rPr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21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1F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La certificación ambiental para documentar criterios asociados a sostenibilidad.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25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2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2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22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3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10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spacing w:after="80" w:lineRule="auto"/>
              <w:rPr/>
            </w:pPr>
            <w:r>
              <w:rPr>
                <w:b w:val="0"/>
                <w:i w:val="0"/>
                <w:sz w:val="20"/>
              </w:rPr>
              <w:t>¿Qué tendencia tecnológica permite automatizar la clasificación de coberturas mediante redes neuronales?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D">
            <w:pPr>
              <w:jc w:val="both"/>
              <w:rPr>
                <w:b w:val="1"/>
                <w:bCs w:val="1"/>
                <w:i w:val="1"/>
                <w:iCs w:val="1"/>
                <w:color w:val="000000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23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F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El acceso a datos abiertos mediante constelaciones satelitales de libre consulta.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45">
            <w:pPr>
              <w:jc w:val="center"/>
              <w:rPr>
                <w:b w:val="1"/>
                <w:bCs w:val="1"/>
                <w:i w:val="1"/>
                <w:i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47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La integración con inteligencia artificial aplicada al análisis geoespacial.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4D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24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4F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El uso de sensores IoT conectados con capas de información territorial en SIG.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5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5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7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La simulación con gemelos digitales para representar sistemas tridimensionales.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D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25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62">
            <w:pPr>
              <w:jc w:val="both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6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6A">
            <w:pPr>
              <w:jc w:val="both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26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11</w:t>
            </w:r>
          </w:p>
        </w:tc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73">
            <w:pPr>
              <w:spacing w:after="80" w:lineRule="auto"/>
              <w:rPr/>
            </w:pPr>
            <w:r>
              <w:rPr>
                <w:b w:val="0"/>
                <w:i w:val="0"/>
                <w:sz w:val="20"/>
              </w:rPr>
              <w:t>¿Qué herramienta permite introducir manualmente fórmulas entre bandas espectrales para calcular índices de vegetación?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5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7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79">
            <w:pPr>
              <w:spacing w:line="240" w:lineRule="auto"/>
              <w:jc w:val="both"/>
              <w:rPr/>
            </w:pPr>
            <w:r>
              <w:rPr>
                <w:b w:val="0"/>
                <w:i w:val="0"/>
                <w:sz w:val="20"/>
              </w:rPr>
              <w:t>El módulo i.vi de GRASS GIS para ejecutar diferentes índices de vegetación.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D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7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81">
            <w:pPr>
              <w:spacing w:line="240" w:lineRule="auto"/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El algoritmo Vegetation Index de SAGA GIS para procesar información ráster.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5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8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89">
            <w:pPr>
              <w:spacing w:line="240" w:lineRule="auto"/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La Calculadora ráster de QGIS para operar directamente con bandas espectrales.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D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8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91">
            <w:pPr>
              <w:spacing w:line="240" w:lineRule="auto"/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El algoritmo Radiometric Indices de OTB para procesar imágenes de teledetección.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5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29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29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29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2A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2A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12</w:t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2AC">
            <w:pPr>
              <w:spacing w:after="80" w:lineRule="auto"/>
              <w:rPr/>
            </w:pPr>
            <w:r>
              <w:rPr>
                <w:b w:val="0"/>
                <w:i w:val="0"/>
                <w:sz w:val="20"/>
              </w:rPr>
              <w:t>¿Qué comportamiento espectral caracteriza a las hojas con actividad fotosintética en el cálculo del NDVI?</w:t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E">
            <w:pPr>
              <w:jc w:val="both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A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Absorben el infrarrojo cercano y reflejan una proporción elevada de la banda roja.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B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BA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Reflejan por igual la banda roja y el infrarrojo cercano durante el monitoreo.</w:t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B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C2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Absorben principalmente la banda verde y reflejan radiación de onda corta.</w:t>
            </w:r>
          </w:p>
        </w:tc>
        <w:tc>
          <w:tcPr/>
          <w:p w:rsidR="00000000" w:rsidDel="00000000" w:rsidP="00000000" w:rsidRDefault="00000000" w:rsidRPr="00000000" w14:paraId="000002C6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C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CA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Absorben radiación en banda roja y reflejan más radiación en infrarrojo cercano.</w:t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2C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2D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2D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2D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2D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hd w:fill="fbe5d5" w:val="clear"/>
                <w:rtl w:val="0"/>
              </w:rPr>
              <w:t xml:space="preserve">Pr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egunta 13</w:t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2E4">
            <w:pPr>
              <w:spacing w:after="80" w:lineRule="auto"/>
              <w:rPr/>
            </w:pPr>
            <w:r>
              <w:rPr>
                <w:b w:val="0"/>
                <w:i w:val="0"/>
                <w:sz w:val="20"/>
              </w:rPr>
              <w:t>¿Cuál expresión corresponde al cálculo del Índice de Vegetación de Diferencia Normalizada (NDVI)?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6">
            <w:pPr>
              <w:jc w:val="both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E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NDVI = (NIR - ROJO) / (NIR + ROJO).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2EE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E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F2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NDVI = (NIR + ROJO) / (NIR - ROJO).</w:t>
            </w:r>
          </w:p>
        </w:tc>
        <w:tc>
          <w:tcPr/>
          <w:p w:rsidR="00000000" w:rsidDel="00000000" w:rsidP="00000000" w:rsidRDefault="00000000" w:rsidRPr="00000000" w14:paraId="000002F6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F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FA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NDVI = (NIR - VERDE) / (NIR + VERDE).</w:t>
            </w:r>
          </w:p>
        </w:tc>
        <w:tc>
          <w:tcPr/>
          <w:p w:rsidR="00000000" w:rsidDel="00000000" w:rsidP="00000000" w:rsidRDefault="00000000" w:rsidRPr="00000000" w14:paraId="000002FE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F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02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NDVI = (NIR - SWIR) / (NIR + SWIR).</w:t>
            </w:r>
          </w:p>
        </w:tc>
        <w:tc>
          <w:tcPr/>
          <w:p w:rsidR="00000000" w:rsidDel="00000000" w:rsidP="00000000" w:rsidRDefault="00000000" w:rsidRPr="00000000" w14:paraId="00000306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0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0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0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1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1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14</w:t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31C">
            <w:pPr>
              <w:jc w:val="both"/>
              <w:rPr>
                <w:b w:val="1"/>
                <w:bCs w:val="1"/>
                <w:color w:val="000000"/>
              </w:rPr>
            </w:pPr>
            <w:r>
              <w:rPr>
                <w:b w:val="0"/>
                <w:i w:val="0"/>
                <w:sz w:val="20"/>
              </w:rPr>
              <w:t>¿Qué interpretación general corresponde a valores de NDVI entre 0,6 y 0,9?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1E">
            <w:pPr>
              <w:jc w:val="both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1F">
            <w:pP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22">
            <w:pPr>
              <w:spacing w:line="240" w:lineRule="auto"/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Superficies de agua, nieve o estructuras con respuesta espectral reducida.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26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27">
            <w:pP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2A">
            <w:pPr>
              <w:spacing w:line="240" w:lineRule="auto"/>
              <w:jc w:val="both"/>
              <w:rPr/>
            </w:pPr>
            <w:r>
              <w:rPr>
                <w:b w:val="0"/>
                <w:i w:val="0"/>
                <w:sz w:val="20"/>
              </w:rPr>
              <w:t>Dosel denso o árboles con mayor vigor dentro de la cobertura vegetal.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E">
            <w:pPr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2F">
            <w:pP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32">
            <w:pPr>
              <w:spacing w:line="240" w:lineRule="auto"/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Suelo descubierto con baja presencia de cobertura vegetal en el territorio.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37">
            <w:pP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3A">
            <w:pPr>
              <w:spacing w:line="240" w:lineRule="auto"/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Vegetación moderada o pastos con densidad intermedia en la superficie.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E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3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4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4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4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4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15</w:t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354">
            <w:pPr>
              <w:jc w:val="both"/>
              <w:rPr>
                <w:b w:val="1"/>
                <w:bCs w:val="1"/>
                <w:color w:val="000000"/>
              </w:rPr>
            </w:pPr>
            <w:r>
              <w:rPr>
                <w:b w:val="0"/>
                <w:i w:val="0"/>
                <w:sz w:val="20"/>
              </w:rPr>
              <w:t>¿Qué índice incorpora las bandas del infrarrojo cercano, rojo y azul para reducir determinados efectos atmosféricos?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56">
            <w:pPr>
              <w:jc w:val="both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5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5A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Índice de Clorofila Verde (GCI), orientado a estimar la clorofila presente en hojas.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5E">
            <w:pPr>
              <w:widowControl w:val="0"/>
              <w:jc w:val="center"/>
              <w:rPr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5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62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Índice de Calcinación Normalizado (NBR), orientado al análisis de zonas incendiadas.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6">
            <w:pPr>
              <w:widowControl w:val="0"/>
              <w:jc w:val="center"/>
              <w:rPr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6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6A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Índice de Vegetación Mejorado (EVI), útil en coberturas con biomasa vegetal densa.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E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6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72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Índice SAVI, útil para reducir la influencia del suelo en coberturas vegetales.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6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7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7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7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8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8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8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16 </w:t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38C">
            <w:pPr>
              <w:spacing w:after="80" w:lineRule="auto"/>
              <w:rPr/>
            </w:pPr>
            <w:r>
              <w:rPr>
                <w:b w:val="0"/>
                <w:i w:val="0"/>
                <w:sz w:val="20"/>
              </w:rPr>
              <w:t>¿Qué índice incorpora un factor de ajuste L para disminuir la influencia del suelo en el análisis espectral?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8E">
            <w:pPr>
              <w:jc w:val="both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8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92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Índice ARVI, que emplea la banda azul para corregir efectos atmosféricos.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96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9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9A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Índice GCI, que utiliza la banda verde para estimar contenido de clorofila.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E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9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A2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Índice SIPI, que analiza la relación entre carotenoides y clorofila vegetal.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6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A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AA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Índice SAVI, que ajusta la respuesta espectral cuando existe suelo expuesto.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E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A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B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B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B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B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17</w:t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3C4">
            <w:pPr>
              <w:spacing w:after="80" w:lineRule="auto"/>
              <w:rPr/>
            </w:pPr>
            <w:r>
              <w:rPr>
                <w:b w:val="0"/>
                <w:i w:val="0"/>
                <w:sz w:val="20"/>
              </w:rPr>
              <w:t>¿Qué índice emplea información de la banda azul para corregir efectos de dispersión atmosférica?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C6">
            <w:pPr>
              <w:jc w:val="both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3C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C8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El ARVI, orientado a condiciones con polvo, humo, niebla o contaminación.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CE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3C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D0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El SAVI, orientado a superficies con vegetación escasa o suelo descubierto.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D6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3D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D8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El GCI, orientado a estimar variaciones en el contenido de clorofila foliar.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DE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3D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E0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El NBR, orientado a identificar zonas afectadas por incendios forestales.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E6">
            <w:pPr>
              <w:jc w:val="center"/>
              <w:rPr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E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E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E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F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F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18</w:t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3FC">
            <w:pPr>
              <w:spacing w:after="80" w:lineRule="auto"/>
              <w:rPr/>
            </w:pPr>
            <w:r>
              <w:rPr>
                <w:b w:val="0"/>
                <w:i w:val="0"/>
                <w:sz w:val="20"/>
              </w:rPr>
              <w:t>¿Qué índice permite estimar el contenido de clorofila de las hojas mediante información del infrarrojo cercano y la banda verde?</w:t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FE">
            <w:pPr>
              <w:jc w:val="both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3F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00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El SAVI, que reduce la influencia del suelo mediante un factor de ajuste L.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06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0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08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El GCI, que aporta información sobre clorofila y vigor de la vegetación.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0E">
            <w:pPr>
              <w:jc w:val="center"/>
              <w:rPr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0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10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El ARVI, que corrige efectos atmosféricos mediante información de banda azul.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16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1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18">
            <w:pPr>
              <w:jc w:val="both"/>
              <w:rPr/>
            </w:pPr>
            <w:r>
              <w:rPr>
                <w:b w:val="0"/>
                <w:i w:val="0"/>
                <w:sz w:val="20"/>
              </w:rPr>
              <w:t>El NBR, que compara infrarrojo cercano y onda corta para analizar incendios.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1E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41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42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42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42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42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19</w:t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de9d9" w:val="clear"/>
          </w:tcPr>
          <w:p w:rsidR="00000000" w:rsidDel="00000000" w:rsidP="00000000" w:rsidRDefault="00000000" w:rsidRPr="00000000" w14:paraId="00000434">
            <w:pPr>
              <w:spacing w:after="80" w:lineRule="auto"/>
              <w:rPr/>
            </w:pPr>
            <w:r>
              <w:rPr>
                <w:b w:val="0"/>
                <w:i w:val="0"/>
                <w:sz w:val="20"/>
              </w:rPr>
              <w:t>¿Qué índice analiza la relación entre carotenoides y clorofila en coberturas con variaciones en la estructura del dosel?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36">
            <w:pPr>
              <w:jc w:val="both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3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38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El EVI, que mejora el monitoreo de áreas con alta densidad de biomasa vegetal.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3E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3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40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El GCI, que estima el contenido de clorofila a partir de la banda verde.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46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4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48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El SIPI, que apoya el análisis de pigmentos y condiciones de estrés vegetal.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4E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4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50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El SAVI, que disminuye la influencia del suelo en superficies poco cubiertas.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56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45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45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45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6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46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20</w:t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46C">
            <w:pPr>
              <w:spacing w:after="80" w:lineRule="auto"/>
              <w:jc w:val="both"/>
              <w:rPr/>
            </w:pPr>
            <w:r>
              <w:rPr>
                <w:b w:val="0"/>
                <w:i w:val="0"/>
                <w:sz w:val="20"/>
              </w:rPr>
              <w:t>¿Qué índice utiliza las bandas NIR y SWIR para identificar áreas afectadas por incendios y analizar vegetación quemada?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6E">
            <w:pPr>
              <w:jc w:val="both"/>
              <w:rPr>
                <w:b w:val="1"/>
                <w:bCs w:val="1"/>
                <w:i w:val="1"/>
                <w:iCs w:val="1"/>
                <w:color w:val="000000"/>
              </w:rPr>
            </w:pPr>
            <w:r>
              <w:rPr>
                <w:b/>
                <w:i w:val="0"/>
                <w:sz w:val="20"/>
              </w:rPr>
              <w:t>Rta(s) correcta(s) (x)</w:t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6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70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El GCI, empleado para estimar clorofila y vigor en coberturas vegetales densas.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76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7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78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El SIPI, empleado para analizar carotenoides y clorofila en la estructura del dosel.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7E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7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80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El EVI, empleado para reducir efectos atmosféricos en coberturas de biomasa densa.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86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</w:r>
          </w:p>
        </w:tc>
      </w:tr>
      <w:tr>
        <w:trPr>
          <w:cantSplit w:val="1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8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88">
            <w:pPr>
              <w:jc w:val="both"/>
              <w:rPr>
                <w:color w:val="000000"/>
              </w:rPr>
            </w:pPr>
            <w:r>
              <w:rPr>
                <w:b w:val="0"/>
                <w:i w:val="0"/>
                <w:sz w:val="20"/>
              </w:rPr>
              <w:t>El NBR, empleado para identificar zonas quemadas y seguir la recuperación vegetal.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8E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/>
                <w:i w:val="0"/>
                <w:sz w:val="20"/>
              </w:rPr>
              <w:t>X</w:t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48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494">
            <w:pPr>
              <w:jc w:val="both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97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49C">
            <w:pPr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8"/>
            <w:shd w:fill="ffd966" w:val="clear"/>
          </w:tcPr>
          <w:p w:rsidR="00000000" w:rsidDel="00000000" w:rsidP="00000000" w:rsidRDefault="00000000" w:rsidRPr="00000000" w14:paraId="0000049F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MENSAJE FINAL ACTIVIDAD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A7">
            <w:pPr>
              <w:widowControl w:val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Mensaje cuando supera el 70% de respuestas correctas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D">
            <w:pPr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¡Excelente! Ha superado la actividad.</w:t>
            </w:r>
          </w:p>
          <w:p w:rsidR="00000000" w:rsidDel="00000000" w:rsidP="00000000" w:rsidRDefault="00000000" w:rsidRPr="00000000" w14:paraId="000004AF">
            <w:pPr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B2">
            <w:pPr>
              <w:widowControl w:val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Mensaje cuando el porcentaje de respuestas correctas es inferior al 70%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8">
            <w:pPr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Le recomendamos volver a revisar el componente formativo e intentar nuevamente la actividad didáctica.</w:t>
            </w:r>
          </w:p>
          <w:p w:rsidR="00000000" w:rsidDel="00000000" w:rsidP="00000000" w:rsidRDefault="00000000" w:rsidRPr="00000000" w14:paraId="000004BA">
            <w:pPr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C">
      <w:pPr>
        <w:spacing w:after="16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b="0" l="0" r="0" t="0"/>
          <wp:wrapSquare wrapText="bothSides" distB="0" distT="0" distL="114300" distR="11430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 l="0" r="0" t="0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-690560</wp:posOffset>
              </wp:positionH>
              <wp:positionV relativeFrom="paragraph">
                <wp:posOffset>-187640</wp:posOffset>
              </wp:positionV>
              <wp:extent cx="5857875" cy="1435964"/>
              <wp:effectExtent b="0" l="0" r="0" t="0"/>
              <wp:wrapSquare wrapText="bothSides" distB="45720" distT="45720" distL="114300" distR="114300"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FORMATO DE DISEÑO INSTRUCCIONAL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COMPONENTES WEB PARA DIAGRAMACIÓN DE CONTENIDO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-690560</wp:posOffset>
              </wp:positionH>
              <wp:positionV relativeFrom="paragraph">
                <wp:posOffset>-187640</wp:posOffset>
              </wp:positionV>
              <wp:extent cx="5857875" cy="1435964"/>
              <wp:effectExtent b="0" l="0" r="0" t="0"/>
              <wp:wrapSquare wrapText="bothSides" distB="45720" distT="45720" distL="114300" distR="114300"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57875" cy="143596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 w:val="1"/>
      </w:rPr>
      <w:tblPr/>
      <w:tcPr>
        <w:tcBorders>
          <w:bottom w:color="f4b083" w:space="0" w:sz="12" w:val="single"/>
        </w:tcBorders>
      </w:tcPr>
    </w:tblStylePr>
    <w:tblStylePr w:type="lastRow">
      <w:rPr>
        <w:b w:val="1"/>
      </w:rPr>
      <w:tblPr/>
      <w:tcPr>
        <w:tcBorders>
          <w:top w:color="f4b083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be5d5" w:val="clear"/>
      </w:tcPr>
    </w:tblStylePr>
    <w:tblStylePr w:type="band1Horz">
      <w:tblPr/>
      <w:tcPr>
        <w:shd w:color="auto" w:fill="fbe5d5" w:val="clear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Strong">
    <w:name w:val="Strong"/>
    <w:basedOn w:val="DefaultParagraphFont"/>
    <w:uiPriority w:val="22"/>
    <w:qFormat w:val="1"/>
    <w:rsid w:val="007C0131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63702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 w:val="es-CO"/>
    </w:rPr>
  </w:style>
  <w:style w:type="paragraph" w:styleId="ListParagraph">
    <w:name w:val="List Paragraph"/>
    <w:basedOn w:val="Normal"/>
    <w:uiPriority w:val="34"/>
    <w:qFormat w:val="1"/>
    <w:rsid w:val="00A20923"/>
    <w:pPr>
      <w:spacing w:after="160" w:line="300" w:lineRule="auto"/>
      <w:ind w:left="720" w:firstLine="720"/>
      <w:contextualSpacing w:val="1"/>
    </w:pPr>
    <w:rPr>
      <w:rFonts w:asciiTheme="minorHAnsi" w:cstheme="minorBidi" w:eastAsiaTheme="minorHAnsi" w:hAnsiTheme="minorHAnsi"/>
      <w:lang w:eastAsia="en-US" w:val="es-CO"/>
    </w:rPr>
  </w:style>
  <w:style w:type="character" w:styleId="citation-263" w:customStyle="1">
    <w:name w:val="citation-263"/>
    <w:basedOn w:val="DefaultParagraphFont"/>
    <w:rsid w:val="00284F25"/>
  </w:style>
  <w:style w:type="character" w:styleId="citation-217" w:customStyle="1">
    <w:name w:val="citation-217"/>
    <w:basedOn w:val="DefaultParagraphFont"/>
    <w:rsid w:val="00284F25"/>
  </w:style>
  <w:style w:type="character" w:styleId="citation-298" w:customStyle="1">
    <w:name w:val="citation-298"/>
    <w:basedOn w:val="DefaultParagraphFont"/>
    <w:rsid w:val="00C24DC6"/>
  </w:style>
  <w:style w:type="character" w:styleId="citation-297" w:customStyle="1">
    <w:name w:val="citation-297"/>
    <w:basedOn w:val="DefaultParagraphFont"/>
    <w:rsid w:val="00C24DC6"/>
  </w:style>
  <w:style w:type="character" w:styleId="citation-296" w:customStyle="1">
    <w:name w:val="citation-296"/>
    <w:basedOn w:val="DefaultParagraphFont"/>
    <w:rsid w:val="00C24DC6"/>
  </w:style>
  <w:style w:type="character" w:styleId="citation-295" w:customStyle="1">
    <w:name w:val="citation-295"/>
    <w:basedOn w:val="DefaultParagraphFont"/>
    <w:rsid w:val="00C24DC6"/>
  </w:style>
  <w:style w:type="character" w:styleId="citation-290" w:customStyle="1">
    <w:name w:val="citation-290"/>
    <w:basedOn w:val="DefaultParagraphFont"/>
    <w:rsid w:val="00E15DD8"/>
  </w:style>
  <w:style w:type="paragraph" w:styleId="Header">
    <w:name w:val="header"/>
    <w:basedOn w:val="Normal"/>
    <w:link w:val="HeaderChar"/>
    <w:uiPriority w:val="99"/>
    <w:unhideWhenUsed w:val="1"/>
    <w:rsid w:val="008D6263"/>
    <w:pPr>
      <w:tabs>
        <w:tab w:val="center" w:pos="4419"/>
        <w:tab w:val="right" w:pos="8838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D6263"/>
  </w:style>
  <w:style w:type="paragraph" w:styleId="Footer">
    <w:name w:val="footer"/>
    <w:basedOn w:val="Normal"/>
    <w:link w:val="FooterChar"/>
    <w:uiPriority w:val="99"/>
    <w:unhideWhenUsed w:val="1"/>
    <w:rsid w:val="008D6263"/>
    <w:pPr>
      <w:tabs>
        <w:tab w:val="center" w:pos="4419"/>
        <w:tab w:val="right" w:pos="8838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D6263"/>
  </w:style>
  <w:style w:type="character" w:styleId="citation-406" w:customStyle="1">
    <w:name w:val="citation-406"/>
    <w:basedOn w:val="DefaultParagraphFont"/>
    <w:rsid w:val="0007493B"/>
  </w:style>
  <w:style w:type="character" w:styleId="citation-405" w:customStyle="1">
    <w:name w:val="citation-405"/>
    <w:basedOn w:val="DefaultParagraphFont"/>
    <w:rsid w:val="0007493B"/>
  </w:style>
  <w:style w:type="character" w:styleId="citation-404" w:customStyle="1">
    <w:name w:val="citation-404"/>
    <w:basedOn w:val="DefaultParagraphFont"/>
    <w:rsid w:val="0007493B"/>
  </w:style>
  <w:style w:type="character" w:styleId="citation-403" w:customStyle="1">
    <w:name w:val="citation-403"/>
    <w:basedOn w:val="DefaultParagraphFont"/>
    <w:rsid w:val="0007493B"/>
  </w:style>
  <w:style w:type="character" w:styleId="citation-402" w:customStyle="1">
    <w:name w:val="citation-402"/>
    <w:basedOn w:val="DefaultParagraphFont"/>
    <w:rsid w:val="0007493B"/>
  </w:style>
  <w:style w:type="character" w:styleId="citation-87" w:customStyle="1">
    <w:name w:val="citation-87"/>
    <w:basedOn w:val="DefaultParagraphFont"/>
    <w:rsid w:val="00133D5A"/>
  </w:style>
  <w:style w:type="character" w:styleId="citation-86" w:customStyle="1">
    <w:name w:val="citation-86"/>
    <w:basedOn w:val="DefaultParagraphFont"/>
    <w:rsid w:val="00133D5A"/>
  </w:style>
  <w:style w:type="character" w:styleId="citation-85" w:customStyle="1">
    <w:name w:val="citation-85"/>
    <w:basedOn w:val="DefaultParagraphFont"/>
    <w:rsid w:val="00133D5A"/>
  </w:style>
  <w:style w:type="character" w:styleId="citation-81" w:customStyle="1">
    <w:name w:val="citation-81"/>
    <w:basedOn w:val="DefaultParagraphFont"/>
    <w:rsid w:val="00042156"/>
  </w:style>
  <w:style w:type="character" w:styleId="citation-80" w:customStyle="1">
    <w:name w:val="citation-80"/>
    <w:basedOn w:val="DefaultParagraphFont"/>
    <w:rsid w:val="00452347"/>
  </w:style>
  <w:style w:type="character" w:styleId="citation-79" w:customStyle="1">
    <w:name w:val="citation-79"/>
    <w:basedOn w:val="DefaultParagraphFont"/>
    <w:rsid w:val="00452347"/>
  </w:style>
  <w:style w:type="character" w:styleId="citation-78" w:customStyle="1">
    <w:name w:val="citation-78"/>
    <w:basedOn w:val="DefaultParagraphFont"/>
    <w:rsid w:val="00452347"/>
  </w:style>
  <w:style w:type="character" w:styleId="citation-77" w:customStyle="1">
    <w:name w:val="citation-77"/>
    <w:basedOn w:val="DefaultParagraphFont"/>
    <w:rsid w:val="00452347"/>
  </w:style>
  <w:style w:type="character" w:styleId="citation-76" w:customStyle="1">
    <w:name w:val="citation-76"/>
    <w:basedOn w:val="DefaultParagraphFont"/>
    <w:rsid w:val="00D53225"/>
  </w:style>
  <w:style w:type="character" w:styleId="citation-75" w:customStyle="1">
    <w:name w:val="citation-75"/>
    <w:basedOn w:val="DefaultParagraphFont"/>
    <w:rsid w:val="00D53225"/>
  </w:style>
  <w:style w:type="character" w:styleId="citation-74" w:customStyle="1">
    <w:name w:val="citation-74"/>
    <w:basedOn w:val="DefaultParagraphFont"/>
    <w:rsid w:val="001E3FC4"/>
  </w:style>
  <w:style w:type="character" w:styleId="citation-72" w:customStyle="1">
    <w:name w:val="citation-72"/>
    <w:basedOn w:val="DefaultParagraphFont"/>
    <w:rsid w:val="001E3FC4"/>
  </w:style>
  <w:style w:type="character" w:styleId="citation-71" w:customStyle="1">
    <w:name w:val="citation-71"/>
    <w:basedOn w:val="DefaultParagraphFont"/>
    <w:rsid w:val="001E3FC4"/>
  </w:style>
  <w:style w:type="character" w:styleId="citation-70" w:customStyle="1">
    <w:name w:val="citation-70"/>
    <w:basedOn w:val="DefaultParagraphFont"/>
    <w:rsid w:val="001E3FC4"/>
  </w:style>
  <w:style w:type="character" w:styleId="citation-69" w:customStyle="1">
    <w:name w:val="citation-69"/>
    <w:basedOn w:val="DefaultParagraphFont"/>
    <w:rsid w:val="001E3FC4"/>
  </w:style>
  <w:style w:type="character" w:styleId="citation-67" w:customStyle="1">
    <w:name w:val="citation-67"/>
    <w:basedOn w:val="DefaultParagraphFont"/>
    <w:rsid w:val="001E3FC4"/>
  </w:style>
  <w:style w:type="character" w:styleId="citation-66" w:customStyle="1">
    <w:name w:val="citation-66"/>
    <w:basedOn w:val="DefaultParagraphFont"/>
    <w:rsid w:val="001E3FC4"/>
  </w:style>
  <w:style w:type="character" w:styleId="citation-63" w:customStyle="1">
    <w:name w:val="citation-63"/>
    <w:basedOn w:val="DefaultParagraphFont"/>
    <w:rsid w:val="009D00C6"/>
  </w:style>
  <w:style w:type="character" w:styleId="citation-50" w:customStyle="1">
    <w:name w:val="citation-50"/>
    <w:basedOn w:val="DefaultParagraphFont"/>
    <w:rsid w:val="002B75C6"/>
  </w:style>
  <w:style w:type="paragraph" w:styleId="pdq2pgselectionanchorcontainer" w:customStyle="1">
    <w:name w:val="pdq2pg_selectionanchorcontainer"/>
    <w:basedOn w:val="Normal"/>
    <w:rsid w:val="00C9632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_tradnl" w:val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SD1SYvUhJbKeY1eV/L9uXR61A==">CgMxLjA4AHIhMTdGSjRRUXJJbEFTNXdHbm5zVndFMUJOTFQtTkQ5WmQ4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DD4F8BDE-5287-40E6-8A1F-EEBF523D262E}"/>
</file>

<file path=customXML/itemProps3.xml><?xml version="1.0" encoding="utf-8"?>
<ds:datastoreItem xmlns:ds="http://schemas.openxmlformats.org/officeDocument/2006/customXml" ds:itemID="{B6287183-3B8B-4844-8591-D1E3BFFDDF09}"/>
</file>

<file path=customXML/itemProps4.xml><?xml version="1.0" encoding="utf-8"?>
<ds:datastoreItem xmlns:ds="http://schemas.openxmlformats.org/officeDocument/2006/customXml" ds:itemID="{6930C370-409C-4962-93C4-B246D9FEE8DC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dcterms:created xsi:type="dcterms:W3CDTF">2026-08-04T20:40:00Z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