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Ids.xml" ContentType="application/vnd.openxmlformats-officedocument.wordprocessingml.commentsIds+xml"/>
  <Override PartName="/word/commentsExtended.xml" ContentType="application/vnd.openxmlformats-officedocument.wordprocessingml.commentsExtended+xml"/>
  <Override PartName="/word/numbering.xml" ContentType="application/vnd.openxmlformats-officedocument.wordprocessingml.numbering+xml"/>
  <Override PartName="/word/webSettings.xml" ContentType="application/vnd.openxmlformats-officedocument.wordprocessingml.webSettings+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9C64D3" w:rsidRDefault="00000000">
      <w:pPr>
        <w:jc w:val="center"/>
        <w:rPr>
          <w:b/>
          <w:bCs/>
          <w:sz w:val="20"/>
          <w:szCs w:val="20"/>
        </w:rPr>
      </w:pPr>
      <w:r>
        <w:rPr>
          <w:b/>
          <w:bCs/>
          <w:sz w:val="20"/>
          <w:szCs w:val="20"/>
        </w:rPr>
        <w:t>ANEXO FORMATO COMPONENTE FORMATIVO</w:t>
      </w:r>
    </w:p>
    <w:p w14:paraId="00000002" w14:textId="77777777" w:rsidR="009C64D3" w:rsidRDefault="009C64D3">
      <w:pPr>
        <w:tabs>
          <w:tab w:val="left" w:pos="3224"/>
        </w:tabs>
        <w:rPr>
          <w:sz w:val="20"/>
          <w:szCs w:val="20"/>
        </w:rPr>
      </w:pPr>
    </w:p>
    <w:p w14:paraId="00000003" w14:textId="77777777" w:rsidR="009C64D3" w:rsidRDefault="009C64D3">
      <w:pPr>
        <w:tabs>
          <w:tab w:val="left" w:pos="3224"/>
        </w:tabs>
        <w:rPr>
          <w:sz w:val="20"/>
          <w:szCs w:val="20"/>
        </w:rPr>
      </w:pPr>
    </w:p>
    <w:tbl>
      <w:tblPr>
        <w:tblStyle w:val="affffff2"/>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C64D3" w14:paraId="3C908C90" w14:textId="77777777">
        <w:trPr>
          <w:trHeight w:val="616"/>
        </w:trPr>
        <w:tc>
          <w:tcPr>
            <w:tcW w:w="3397" w:type="dxa"/>
            <w:shd w:val="clear" w:color="auto" w:fill="auto"/>
            <w:vAlign w:val="center"/>
          </w:tcPr>
          <w:p w14:paraId="00000004" w14:textId="77777777" w:rsidR="009C64D3" w:rsidRDefault="00000000">
            <w:pPr>
              <w:spacing w:line="276" w:lineRule="auto"/>
              <w:rPr>
                <w:sz w:val="20"/>
                <w:szCs w:val="20"/>
              </w:rPr>
            </w:pPr>
            <w:r>
              <w:rPr>
                <w:sz w:val="20"/>
                <w:szCs w:val="20"/>
              </w:rPr>
              <w:t>PROGRAMA DE FORMACIÓN</w:t>
            </w:r>
          </w:p>
        </w:tc>
        <w:tc>
          <w:tcPr>
            <w:tcW w:w="6565" w:type="dxa"/>
            <w:shd w:val="clear" w:color="auto" w:fill="auto"/>
            <w:vAlign w:val="center"/>
          </w:tcPr>
          <w:p w14:paraId="00000005" w14:textId="77777777" w:rsidR="009C64D3" w:rsidRDefault="00000000">
            <w:pPr>
              <w:spacing w:line="276" w:lineRule="auto"/>
              <w:rPr>
                <w:b w:val="0"/>
                <w:bCs w:val="0"/>
                <w:sz w:val="20"/>
                <w:szCs w:val="20"/>
              </w:rPr>
            </w:pPr>
            <w:r>
              <w:rPr>
                <w:b w:val="0"/>
                <w:bCs w:val="0"/>
                <w:sz w:val="20"/>
                <w:szCs w:val="20"/>
              </w:rPr>
              <w:t>Tecnólogo en Desarrollo de Sistemas de Agroforestería</w:t>
            </w:r>
          </w:p>
        </w:tc>
      </w:tr>
    </w:tbl>
    <w:p w14:paraId="00000006" w14:textId="77777777" w:rsidR="009C64D3" w:rsidRDefault="009C64D3">
      <w:pPr>
        <w:rPr>
          <w:sz w:val="20"/>
          <w:szCs w:val="20"/>
        </w:rPr>
      </w:pPr>
    </w:p>
    <w:tbl>
      <w:tblPr>
        <w:tblStyle w:val="affffff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9C64D3" w14:paraId="106D401D" w14:textId="77777777">
        <w:trPr>
          <w:trHeight w:val="1298"/>
        </w:trPr>
        <w:tc>
          <w:tcPr>
            <w:tcW w:w="1838" w:type="dxa"/>
            <w:shd w:val="clear" w:color="auto" w:fill="auto"/>
            <w:vAlign w:val="center"/>
          </w:tcPr>
          <w:p w14:paraId="00000007" w14:textId="77777777" w:rsidR="009C64D3" w:rsidRDefault="00000000">
            <w:pPr>
              <w:spacing w:line="276" w:lineRule="auto"/>
              <w:rPr>
                <w:sz w:val="20"/>
                <w:szCs w:val="20"/>
              </w:rPr>
            </w:pPr>
            <w:r>
              <w:rPr>
                <w:sz w:val="20"/>
                <w:szCs w:val="20"/>
              </w:rPr>
              <w:t>COMPETENCIA</w:t>
            </w:r>
          </w:p>
        </w:tc>
        <w:tc>
          <w:tcPr>
            <w:tcW w:w="2835" w:type="dxa"/>
            <w:shd w:val="clear" w:color="auto" w:fill="auto"/>
            <w:vAlign w:val="center"/>
          </w:tcPr>
          <w:p w14:paraId="00000008" w14:textId="77777777" w:rsidR="009C64D3" w:rsidRDefault="00000000">
            <w:pPr>
              <w:jc w:val="both"/>
              <w:rPr>
                <w:sz w:val="20"/>
                <w:szCs w:val="20"/>
                <w:u w:val="single"/>
              </w:rPr>
            </w:pPr>
            <w:r>
              <w:rPr>
                <w:sz w:val="20"/>
                <w:szCs w:val="20"/>
              </w:rPr>
              <w:t xml:space="preserve">220501118 -  </w:t>
            </w:r>
            <w:r>
              <w:rPr>
                <w:b w:val="0"/>
                <w:bCs w:val="0"/>
                <w:sz w:val="20"/>
                <w:szCs w:val="20"/>
              </w:rPr>
              <w:t>Elaborar estructura de datos espaciales de acuerdo con normativa técnica y especificaciones del sistema de información geográfica.</w:t>
            </w:r>
          </w:p>
        </w:tc>
        <w:tc>
          <w:tcPr>
            <w:tcW w:w="2126" w:type="dxa"/>
            <w:shd w:val="clear" w:color="auto" w:fill="auto"/>
            <w:vAlign w:val="center"/>
          </w:tcPr>
          <w:p w14:paraId="00000009" w14:textId="77777777" w:rsidR="009C64D3" w:rsidRDefault="00000000">
            <w:pPr>
              <w:spacing w:line="276" w:lineRule="auto"/>
              <w:rPr>
                <w:sz w:val="20"/>
                <w:szCs w:val="20"/>
              </w:rPr>
            </w:pPr>
            <w:r>
              <w:rPr>
                <w:sz w:val="20"/>
                <w:szCs w:val="20"/>
              </w:rPr>
              <w:t>RESULTADOS DE APRENDIZAJE</w:t>
            </w:r>
          </w:p>
        </w:tc>
        <w:tc>
          <w:tcPr>
            <w:tcW w:w="3163" w:type="dxa"/>
            <w:shd w:val="clear" w:color="auto" w:fill="auto"/>
            <w:vAlign w:val="center"/>
          </w:tcPr>
          <w:p w14:paraId="0000000A" w14:textId="77777777" w:rsidR="009C64D3" w:rsidRDefault="00000000">
            <w:pPr>
              <w:numPr>
                <w:ilvl w:val="0"/>
                <w:numId w:val="1"/>
              </w:numPr>
              <w:pBdr>
                <w:top w:val="nil"/>
                <w:left w:val="nil"/>
                <w:bottom w:val="nil"/>
                <w:right w:val="nil"/>
                <w:between w:val="nil"/>
              </w:pBdr>
              <w:spacing w:line="276" w:lineRule="auto"/>
              <w:ind w:left="357" w:hanging="357"/>
              <w:jc w:val="both"/>
              <w:rPr>
                <w:b w:val="0"/>
                <w:bCs w:val="0"/>
                <w:sz w:val="20"/>
                <w:szCs w:val="20"/>
              </w:rPr>
            </w:pPr>
            <w:r>
              <w:rPr>
                <w:b w:val="0"/>
                <w:bCs w:val="0"/>
                <w:sz w:val="20"/>
                <w:szCs w:val="20"/>
              </w:rPr>
              <w:t>Definir técnicas y componentes geoespaciales de acuerdo con procedimientos técnicos.</w:t>
            </w:r>
          </w:p>
          <w:p w14:paraId="0000000B" w14:textId="77777777" w:rsidR="009C64D3" w:rsidRDefault="00000000">
            <w:pPr>
              <w:numPr>
                <w:ilvl w:val="0"/>
                <w:numId w:val="1"/>
              </w:numPr>
              <w:pBdr>
                <w:top w:val="nil"/>
                <w:left w:val="nil"/>
                <w:bottom w:val="nil"/>
                <w:right w:val="nil"/>
                <w:between w:val="nil"/>
              </w:pBdr>
              <w:spacing w:line="276" w:lineRule="auto"/>
              <w:ind w:left="357" w:hanging="357"/>
              <w:jc w:val="both"/>
              <w:rPr>
                <w:b w:val="0"/>
                <w:bCs w:val="0"/>
                <w:sz w:val="20"/>
                <w:szCs w:val="20"/>
              </w:rPr>
            </w:pPr>
            <w:r>
              <w:rPr>
                <w:b w:val="0"/>
                <w:bCs w:val="0"/>
                <w:sz w:val="20"/>
                <w:szCs w:val="20"/>
              </w:rPr>
              <w:t>Procesar datos geoespaciales de acuerdo con técnicas y protocolos.</w:t>
            </w:r>
          </w:p>
          <w:p w14:paraId="0000000C" w14:textId="77777777" w:rsidR="009C64D3" w:rsidRDefault="00000000">
            <w:pPr>
              <w:numPr>
                <w:ilvl w:val="0"/>
                <w:numId w:val="1"/>
              </w:numPr>
              <w:pBdr>
                <w:top w:val="nil"/>
                <w:left w:val="nil"/>
                <w:bottom w:val="nil"/>
                <w:right w:val="nil"/>
                <w:between w:val="nil"/>
              </w:pBdr>
              <w:spacing w:line="276" w:lineRule="auto"/>
              <w:ind w:left="357" w:hanging="357"/>
              <w:jc w:val="both"/>
              <w:rPr>
                <w:b w:val="0"/>
                <w:bCs w:val="0"/>
                <w:sz w:val="20"/>
                <w:szCs w:val="20"/>
              </w:rPr>
            </w:pPr>
            <w:r>
              <w:rPr>
                <w:b w:val="0"/>
                <w:bCs w:val="0"/>
                <w:sz w:val="20"/>
                <w:szCs w:val="20"/>
              </w:rPr>
              <w:t>Validar datos geoespaciales según requerimientos y especificaciones técnicas.</w:t>
            </w:r>
          </w:p>
          <w:p w14:paraId="0000000D" w14:textId="77777777" w:rsidR="009C64D3" w:rsidRDefault="00000000">
            <w:pPr>
              <w:numPr>
                <w:ilvl w:val="0"/>
                <w:numId w:val="1"/>
              </w:numPr>
              <w:pBdr>
                <w:top w:val="nil"/>
                <w:left w:val="nil"/>
                <w:bottom w:val="nil"/>
                <w:right w:val="nil"/>
                <w:between w:val="nil"/>
              </w:pBdr>
              <w:spacing w:line="276" w:lineRule="auto"/>
              <w:ind w:left="357" w:hanging="357"/>
              <w:jc w:val="both"/>
              <w:rPr>
                <w:b w:val="0"/>
                <w:bCs w:val="0"/>
                <w:sz w:val="20"/>
                <w:szCs w:val="20"/>
              </w:rPr>
            </w:pPr>
            <w:r>
              <w:rPr>
                <w:b w:val="0"/>
                <w:bCs w:val="0"/>
                <w:sz w:val="20"/>
                <w:szCs w:val="20"/>
              </w:rPr>
              <w:t>Implementar acciones de mejora de acuerdo con requerimientos técnicos.</w:t>
            </w:r>
          </w:p>
        </w:tc>
      </w:tr>
    </w:tbl>
    <w:p w14:paraId="0000000E" w14:textId="77777777" w:rsidR="009C64D3" w:rsidRDefault="009C64D3">
      <w:pPr>
        <w:rPr>
          <w:sz w:val="20"/>
          <w:szCs w:val="20"/>
        </w:rPr>
      </w:pPr>
    </w:p>
    <w:tbl>
      <w:tblPr>
        <w:tblStyle w:val="afffff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C64D3" w14:paraId="4A415D2B" w14:textId="77777777">
        <w:trPr>
          <w:trHeight w:val="735"/>
        </w:trPr>
        <w:tc>
          <w:tcPr>
            <w:tcW w:w="3397" w:type="dxa"/>
            <w:shd w:val="clear" w:color="auto" w:fill="auto"/>
            <w:vAlign w:val="center"/>
          </w:tcPr>
          <w:p w14:paraId="0000000F" w14:textId="77777777" w:rsidR="009C64D3" w:rsidRDefault="00000000">
            <w:pPr>
              <w:spacing w:line="276" w:lineRule="auto"/>
              <w:rPr>
                <w:sz w:val="20"/>
                <w:szCs w:val="20"/>
              </w:rPr>
            </w:pPr>
            <w:r>
              <w:rPr>
                <w:sz w:val="20"/>
                <w:szCs w:val="20"/>
              </w:rPr>
              <w:t>NÚMERO DEL COMPONENTE FORMATIVO</w:t>
            </w:r>
          </w:p>
        </w:tc>
        <w:tc>
          <w:tcPr>
            <w:tcW w:w="6565" w:type="dxa"/>
            <w:shd w:val="clear" w:color="auto" w:fill="auto"/>
            <w:vAlign w:val="center"/>
          </w:tcPr>
          <w:p w14:paraId="00000010" w14:textId="77777777" w:rsidR="009C64D3" w:rsidRDefault="00000000">
            <w:pPr>
              <w:spacing w:line="276" w:lineRule="auto"/>
              <w:rPr>
                <w:color w:val="595959"/>
                <w:sz w:val="20"/>
                <w:szCs w:val="20"/>
              </w:rPr>
            </w:pPr>
            <w:r>
              <w:rPr>
                <w:color w:val="595959"/>
                <w:sz w:val="20"/>
                <w:szCs w:val="20"/>
              </w:rPr>
              <w:t>01</w:t>
            </w:r>
          </w:p>
        </w:tc>
      </w:tr>
      <w:tr w:rsidR="009C64D3" w14:paraId="48A02325" w14:textId="77777777">
        <w:trPr>
          <w:trHeight w:val="756"/>
        </w:trPr>
        <w:tc>
          <w:tcPr>
            <w:tcW w:w="3397" w:type="dxa"/>
            <w:shd w:val="clear" w:color="auto" w:fill="auto"/>
            <w:vAlign w:val="center"/>
          </w:tcPr>
          <w:p w14:paraId="00000011" w14:textId="77777777" w:rsidR="009C64D3" w:rsidRDefault="00000000">
            <w:pPr>
              <w:spacing w:line="276" w:lineRule="auto"/>
              <w:rPr>
                <w:sz w:val="20"/>
                <w:szCs w:val="20"/>
              </w:rPr>
            </w:pPr>
            <w:r>
              <w:rPr>
                <w:sz w:val="20"/>
                <w:szCs w:val="20"/>
              </w:rPr>
              <w:t>NOMBRE DEL COMPONENTE FORMATIVO</w:t>
            </w:r>
          </w:p>
        </w:tc>
        <w:tc>
          <w:tcPr>
            <w:tcW w:w="6565" w:type="dxa"/>
            <w:shd w:val="clear" w:color="auto" w:fill="auto"/>
            <w:vAlign w:val="center"/>
          </w:tcPr>
          <w:p w14:paraId="00000012" w14:textId="77777777" w:rsidR="009C64D3" w:rsidRDefault="00000000">
            <w:pPr>
              <w:spacing w:line="276" w:lineRule="auto"/>
              <w:rPr>
                <w:color w:val="595959"/>
                <w:sz w:val="20"/>
                <w:szCs w:val="20"/>
              </w:rPr>
            </w:pPr>
            <w:r>
              <w:rPr>
                <w:b w:val="0"/>
                <w:bCs w:val="0"/>
                <w:sz w:val="20"/>
                <w:szCs w:val="20"/>
              </w:rPr>
              <w:t>Aplicación de técnicas geoespaciales en la agroforestería</w:t>
            </w:r>
          </w:p>
        </w:tc>
      </w:tr>
      <w:tr w:rsidR="009C64D3" w14:paraId="42712B31" w14:textId="77777777">
        <w:trPr>
          <w:trHeight w:val="629"/>
        </w:trPr>
        <w:tc>
          <w:tcPr>
            <w:tcW w:w="3397" w:type="dxa"/>
            <w:shd w:val="clear" w:color="auto" w:fill="auto"/>
            <w:vAlign w:val="center"/>
          </w:tcPr>
          <w:p w14:paraId="00000013" w14:textId="77777777" w:rsidR="009C64D3" w:rsidRDefault="00000000">
            <w:pPr>
              <w:spacing w:line="276" w:lineRule="auto"/>
              <w:rPr>
                <w:sz w:val="20"/>
                <w:szCs w:val="20"/>
              </w:rPr>
            </w:pPr>
            <w:r>
              <w:rPr>
                <w:sz w:val="20"/>
                <w:szCs w:val="20"/>
              </w:rPr>
              <w:t>BREVE DESCRIPCIÓN</w:t>
            </w:r>
          </w:p>
        </w:tc>
        <w:tc>
          <w:tcPr>
            <w:tcW w:w="6565" w:type="dxa"/>
            <w:shd w:val="clear" w:color="auto" w:fill="auto"/>
            <w:vAlign w:val="center"/>
          </w:tcPr>
          <w:p w14:paraId="00000014" w14:textId="77777777" w:rsidR="009C64D3" w:rsidRDefault="00000000">
            <w:pPr>
              <w:spacing w:line="276" w:lineRule="auto"/>
              <w:jc w:val="both"/>
              <w:rPr>
                <w:color w:val="595959"/>
                <w:sz w:val="20"/>
                <w:szCs w:val="20"/>
              </w:rPr>
            </w:pPr>
            <w:r>
              <w:rPr>
                <w:b w:val="0"/>
                <w:bCs w:val="0"/>
                <w:sz w:val="20"/>
                <w:szCs w:val="20"/>
              </w:rPr>
              <w:t>La aplicación de técnicas geoespaciales en la agroforestería integra imágenes satelitales, sistemas de información geográfica (SIG) y drones para monitorear el uso del suelo, optimizar el diseño parcelario, evaluar el estado de la vegetación y estimar la captura de carbono. Estas herramientas apoyan la gestión del territorio agroforestal, la productividad agrícola y la conservación de los ecosistemas forestales.</w:t>
            </w:r>
          </w:p>
        </w:tc>
      </w:tr>
      <w:tr w:rsidR="009C64D3" w14:paraId="0A92CE19" w14:textId="77777777">
        <w:trPr>
          <w:trHeight w:val="567"/>
        </w:trPr>
        <w:tc>
          <w:tcPr>
            <w:tcW w:w="3397" w:type="dxa"/>
            <w:shd w:val="clear" w:color="auto" w:fill="auto"/>
            <w:vAlign w:val="center"/>
          </w:tcPr>
          <w:p w14:paraId="00000015" w14:textId="77777777" w:rsidR="009C64D3" w:rsidRDefault="00000000">
            <w:pPr>
              <w:spacing w:line="276" w:lineRule="auto"/>
              <w:rPr>
                <w:sz w:val="20"/>
                <w:szCs w:val="20"/>
              </w:rPr>
            </w:pPr>
            <w:r>
              <w:rPr>
                <w:sz w:val="20"/>
                <w:szCs w:val="20"/>
              </w:rPr>
              <w:t>PALABRAS CLAVE</w:t>
            </w:r>
          </w:p>
        </w:tc>
        <w:tc>
          <w:tcPr>
            <w:tcW w:w="6565" w:type="dxa"/>
            <w:shd w:val="clear" w:color="auto" w:fill="auto"/>
            <w:vAlign w:val="center"/>
          </w:tcPr>
          <w:p w14:paraId="00000016" w14:textId="77777777" w:rsidR="009C64D3" w:rsidRDefault="00000000">
            <w:pPr>
              <w:spacing w:line="276" w:lineRule="auto"/>
              <w:rPr>
                <w:color w:val="595959"/>
                <w:sz w:val="20"/>
                <w:szCs w:val="20"/>
              </w:rPr>
            </w:pPr>
            <w:r>
              <w:rPr>
                <w:b w:val="0"/>
                <w:bCs w:val="0"/>
                <w:sz w:val="20"/>
                <w:szCs w:val="20"/>
              </w:rPr>
              <w:t>Agroforestería, tecnologías geoespaciales, sistemas de información geográfica (SIG), teledetección, datos geoespaciales</w:t>
            </w:r>
            <w:r>
              <w:rPr>
                <w:color w:val="595959"/>
                <w:sz w:val="20"/>
                <w:szCs w:val="20"/>
              </w:rPr>
              <w:t>.</w:t>
            </w:r>
          </w:p>
        </w:tc>
      </w:tr>
    </w:tbl>
    <w:p w14:paraId="00000017" w14:textId="77777777" w:rsidR="009C64D3" w:rsidRDefault="009C64D3">
      <w:pPr>
        <w:rPr>
          <w:sz w:val="20"/>
          <w:szCs w:val="20"/>
        </w:rPr>
      </w:pPr>
    </w:p>
    <w:tbl>
      <w:tblPr>
        <w:tblStyle w:val="afffff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C64D3" w14:paraId="3CF939A6" w14:textId="77777777">
        <w:trPr>
          <w:trHeight w:val="750"/>
        </w:trPr>
        <w:tc>
          <w:tcPr>
            <w:tcW w:w="3397" w:type="dxa"/>
            <w:shd w:val="clear" w:color="auto" w:fill="auto"/>
            <w:vAlign w:val="center"/>
          </w:tcPr>
          <w:p w14:paraId="00000018" w14:textId="77777777" w:rsidR="009C64D3" w:rsidRDefault="00000000">
            <w:pPr>
              <w:spacing w:line="276" w:lineRule="auto"/>
              <w:rPr>
                <w:sz w:val="20"/>
                <w:szCs w:val="20"/>
              </w:rPr>
            </w:pPr>
            <w:r>
              <w:rPr>
                <w:sz w:val="20"/>
                <w:szCs w:val="20"/>
              </w:rPr>
              <w:t>ÁREA OCUPACIONAL</w:t>
            </w:r>
          </w:p>
        </w:tc>
        <w:tc>
          <w:tcPr>
            <w:tcW w:w="6565" w:type="dxa"/>
            <w:shd w:val="clear" w:color="auto" w:fill="auto"/>
            <w:vAlign w:val="center"/>
          </w:tcPr>
          <w:p w14:paraId="00000019" w14:textId="77777777" w:rsidR="009C64D3" w:rsidRDefault="00000000">
            <w:pPr>
              <w:spacing w:line="276" w:lineRule="auto"/>
              <w:rPr>
                <w:color w:val="595959"/>
                <w:sz w:val="20"/>
                <w:szCs w:val="20"/>
              </w:rPr>
            </w:pPr>
            <w:r>
              <w:rPr>
                <w:b w:val="0"/>
                <w:bCs w:val="0"/>
                <w:sz w:val="20"/>
                <w:szCs w:val="20"/>
              </w:rPr>
              <w:t>2 - Ciencias naturales, aplicadas y relacionadas</w:t>
            </w:r>
          </w:p>
          <w:p w14:paraId="0000001A" w14:textId="77777777" w:rsidR="009C64D3" w:rsidRDefault="009C64D3">
            <w:pPr>
              <w:spacing w:line="276" w:lineRule="auto"/>
              <w:rPr>
                <w:color w:val="595959"/>
                <w:sz w:val="16"/>
                <w:szCs w:val="16"/>
              </w:rPr>
            </w:pPr>
          </w:p>
        </w:tc>
      </w:tr>
      <w:tr w:rsidR="009C64D3" w14:paraId="4025615B" w14:textId="77777777">
        <w:trPr>
          <w:trHeight w:val="605"/>
        </w:trPr>
        <w:tc>
          <w:tcPr>
            <w:tcW w:w="3397" w:type="dxa"/>
            <w:shd w:val="clear" w:color="auto" w:fill="auto"/>
            <w:vAlign w:val="center"/>
          </w:tcPr>
          <w:p w14:paraId="0000001B" w14:textId="77777777" w:rsidR="009C64D3" w:rsidRDefault="00000000">
            <w:pPr>
              <w:spacing w:line="276" w:lineRule="auto"/>
              <w:rPr>
                <w:sz w:val="20"/>
                <w:szCs w:val="20"/>
              </w:rPr>
            </w:pPr>
            <w:r>
              <w:rPr>
                <w:sz w:val="20"/>
                <w:szCs w:val="20"/>
              </w:rPr>
              <w:t>IDIOMA</w:t>
            </w:r>
          </w:p>
        </w:tc>
        <w:tc>
          <w:tcPr>
            <w:tcW w:w="6565" w:type="dxa"/>
            <w:shd w:val="clear" w:color="auto" w:fill="auto"/>
            <w:vAlign w:val="center"/>
          </w:tcPr>
          <w:p w14:paraId="0000001C" w14:textId="77777777" w:rsidR="009C64D3" w:rsidRDefault="00000000">
            <w:pPr>
              <w:spacing w:line="276" w:lineRule="auto"/>
              <w:rPr>
                <w:color w:val="595959"/>
                <w:sz w:val="20"/>
                <w:szCs w:val="20"/>
              </w:rPr>
            </w:pPr>
            <w:r>
              <w:rPr>
                <w:b w:val="0"/>
                <w:bCs w:val="0"/>
                <w:sz w:val="20"/>
                <w:szCs w:val="20"/>
              </w:rPr>
              <w:t>Español</w:t>
            </w:r>
          </w:p>
        </w:tc>
      </w:tr>
    </w:tbl>
    <w:p w14:paraId="0000001D" w14:textId="77777777" w:rsidR="009C64D3" w:rsidRDefault="009C64D3">
      <w:pPr>
        <w:rPr>
          <w:sz w:val="20"/>
          <w:szCs w:val="20"/>
        </w:rPr>
      </w:pPr>
    </w:p>
    <w:p w14:paraId="0000001E" w14:textId="77777777" w:rsidR="009C64D3" w:rsidRDefault="00000000">
      <w:pPr>
        <w:pBdr>
          <w:top w:val="nil"/>
          <w:left w:val="nil"/>
          <w:bottom w:val="nil"/>
          <w:right w:val="nil"/>
          <w:between w:val="nil"/>
        </w:pBdr>
        <w:ind w:left="720"/>
        <w:jc w:val="both"/>
        <w:rPr>
          <w:sz w:val="20"/>
          <w:szCs w:val="20"/>
        </w:rPr>
      </w:pPr>
      <w:r>
        <w:br w:type="page"/>
      </w:r>
    </w:p>
    <w:p w14:paraId="0000001F" w14:textId="77777777" w:rsidR="009C64D3" w:rsidRDefault="00000000">
      <w:pPr>
        <w:numPr>
          <w:ilvl w:val="0"/>
          <w:numId w:val="2"/>
        </w:numPr>
        <w:pBdr>
          <w:top w:val="nil"/>
          <w:left w:val="nil"/>
          <w:bottom w:val="nil"/>
          <w:right w:val="nil"/>
          <w:between w:val="nil"/>
        </w:pBdr>
        <w:ind w:left="284" w:hanging="284"/>
        <w:jc w:val="both"/>
        <w:rPr>
          <w:b/>
          <w:bCs/>
          <w:sz w:val="20"/>
          <w:szCs w:val="20"/>
        </w:rPr>
      </w:pPr>
      <w:r>
        <w:rPr>
          <w:b/>
          <w:bCs/>
          <w:sz w:val="20"/>
          <w:szCs w:val="20"/>
        </w:rPr>
        <w:lastRenderedPageBreak/>
        <w:t xml:space="preserve">TABLA DE CONTENIDOS </w:t>
      </w:r>
    </w:p>
    <w:p w14:paraId="00000020" w14:textId="77777777" w:rsidR="009C64D3" w:rsidRDefault="009C64D3">
      <w:pPr>
        <w:pBdr>
          <w:top w:val="nil"/>
          <w:left w:val="nil"/>
          <w:bottom w:val="nil"/>
          <w:right w:val="nil"/>
          <w:between w:val="nil"/>
        </w:pBdr>
        <w:jc w:val="both"/>
        <w:rPr>
          <w:b/>
          <w:bCs/>
          <w:sz w:val="20"/>
          <w:szCs w:val="20"/>
        </w:rPr>
      </w:pPr>
    </w:p>
    <w:p w14:paraId="00000021" w14:textId="77777777" w:rsidR="009C64D3" w:rsidRDefault="009C64D3">
      <w:pPr>
        <w:pBdr>
          <w:top w:val="nil"/>
          <w:left w:val="nil"/>
          <w:bottom w:val="nil"/>
          <w:right w:val="nil"/>
          <w:between w:val="nil"/>
        </w:pBdr>
        <w:jc w:val="both"/>
        <w:rPr>
          <w:b/>
          <w:bCs/>
          <w:sz w:val="20"/>
          <w:szCs w:val="20"/>
        </w:rPr>
      </w:pPr>
    </w:p>
    <w:p w14:paraId="00000022" w14:textId="77777777" w:rsidR="009C64D3" w:rsidRDefault="00000000">
      <w:pPr>
        <w:ind w:left="284"/>
        <w:rPr>
          <w:sz w:val="20"/>
          <w:szCs w:val="20"/>
        </w:rPr>
      </w:pPr>
      <w:r>
        <w:rPr>
          <w:b/>
          <w:bCs/>
          <w:sz w:val="20"/>
          <w:szCs w:val="20"/>
        </w:rPr>
        <w:t>Introducción</w:t>
      </w:r>
    </w:p>
    <w:p w14:paraId="00000023" w14:textId="77777777" w:rsidR="009C64D3" w:rsidRDefault="00000000">
      <w:pPr>
        <w:ind w:left="284"/>
        <w:rPr>
          <w:sz w:val="20"/>
          <w:szCs w:val="20"/>
        </w:rPr>
      </w:pPr>
      <w:r>
        <w:rPr>
          <w:b/>
          <w:bCs/>
          <w:sz w:val="20"/>
          <w:szCs w:val="20"/>
        </w:rPr>
        <w:t>1. Fundamentos de las tecnologías geoespaciales en el ámbito agroforestal</w:t>
      </w:r>
    </w:p>
    <w:p w14:paraId="00000024" w14:textId="77777777" w:rsidR="009C64D3" w:rsidRDefault="00000000">
      <w:pPr>
        <w:ind w:left="720"/>
        <w:rPr>
          <w:sz w:val="20"/>
          <w:szCs w:val="20"/>
        </w:rPr>
      </w:pPr>
      <w:r>
        <w:rPr>
          <w:sz w:val="20"/>
          <w:szCs w:val="20"/>
        </w:rPr>
        <w:t>1.1 Sistemas agroforestales y análisis geoespacial</w:t>
      </w:r>
    </w:p>
    <w:p w14:paraId="00000025" w14:textId="77777777" w:rsidR="009C64D3" w:rsidRDefault="00000000">
      <w:pPr>
        <w:ind w:left="720"/>
        <w:rPr>
          <w:sz w:val="20"/>
          <w:szCs w:val="20"/>
        </w:rPr>
      </w:pPr>
      <w:r>
        <w:rPr>
          <w:sz w:val="20"/>
          <w:szCs w:val="20"/>
        </w:rPr>
        <w:t>1.2 Tecnologías geoespaciales</w:t>
      </w:r>
    </w:p>
    <w:p w14:paraId="00000026" w14:textId="77777777" w:rsidR="009C64D3" w:rsidRDefault="00000000">
      <w:pPr>
        <w:ind w:left="720"/>
        <w:rPr>
          <w:sz w:val="20"/>
          <w:szCs w:val="20"/>
        </w:rPr>
      </w:pPr>
      <w:r>
        <w:rPr>
          <w:sz w:val="20"/>
          <w:szCs w:val="20"/>
        </w:rPr>
        <w:t>1.3 Aplicaciones de las tecnologías geoespaciales en el ámbito agroforestal</w:t>
      </w:r>
    </w:p>
    <w:p w14:paraId="00000027" w14:textId="77777777" w:rsidR="009C64D3" w:rsidRDefault="00000000">
      <w:pPr>
        <w:ind w:left="284"/>
        <w:rPr>
          <w:sz w:val="20"/>
          <w:szCs w:val="20"/>
        </w:rPr>
      </w:pPr>
      <w:r>
        <w:rPr>
          <w:b/>
          <w:bCs/>
          <w:sz w:val="20"/>
          <w:szCs w:val="20"/>
        </w:rPr>
        <w:t>2. Captura y procesamiento de información geoespacial</w:t>
      </w:r>
    </w:p>
    <w:p w14:paraId="00000028" w14:textId="77777777" w:rsidR="009C64D3" w:rsidRDefault="00000000">
      <w:pPr>
        <w:ind w:left="720"/>
        <w:rPr>
          <w:sz w:val="20"/>
          <w:szCs w:val="20"/>
        </w:rPr>
      </w:pPr>
      <w:r>
        <w:rPr>
          <w:sz w:val="20"/>
          <w:szCs w:val="20"/>
        </w:rPr>
        <w:t>2.1. Captura y procesamiento de información geoespacial</w:t>
      </w:r>
    </w:p>
    <w:p w14:paraId="00000029" w14:textId="77777777" w:rsidR="009C64D3" w:rsidRDefault="00000000">
      <w:pPr>
        <w:ind w:left="720"/>
        <w:rPr>
          <w:sz w:val="20"/>
          <w:szCs w:val="20"/>
        </w:rPr>
      </w:pPr>
      <w:r>
        <w:rPr>
          <w:sz w:val="20"/>
          <w:szCs w:val="20"/>
        </w:rPr>
        <w:t>2.2 Procesamiento y análisis geoespacial en agroforestería</w:t>
      </w:r>
    </w:p>
    <w:p w14:paraId="0000002A" w14:textId="77777777" w:rsidR="009C64D3" w:rsidRDefault="00000000">
      <w:pPr>
        <w:ind w:left="720"/>
        <w:rPr>
          <w:sz w:val="20"/>
          <w:szCs w:val="20"/>
        </w:rPr>
      </w:pPr>
      <w:r>
        <w:rPr>
          <w:sz w:val="20"/>
          <w:szCs w:val="20"/>
        </w:rPr>
        <w:t>2.3 Aplicaciones clave en agroforestería</w:t>
      </w:r>
    </w:p>
    <w:p w14:paraId="0000002B" w14:textId="77777777" w:rsidR="009C64D3" w:rsidRDefault="00000000">
      <w:pPr>
        <w:ind w:left="720"/>
        <w:rPr>
          <w:sz w:val="20"/>
          <w:szCs w:val="20"/>
        </w:rPr>
      </w:pPr>
      <w:r>
        <w:rPr>
          <w:sz w:val="20"/>
          <w:szCs w:val="20"/>
        </w:rPr>
        <w:t>2.4 Tendencias futuras y tecnologías emergentes</w:t>
      </w:r>
    </w:p>
    <w:p w14:paraId="0000002C" w14:textId="77777777" w:rsidR="009C64D3" w:rsidRDefault="00000000">
      <w:pPr>
        <w:ind w:left="284"/>
        <w:rPr>
          <w:sz w:val="20"/>
          <w:szCs w:val="20"/>
        </w:rPr>
      </w:pPr>
      <w:r>
        <w:rPr>
          <w:b/>
          <w:bCs/>
          <w:sz w:val="20"/>
          <w:szCs w:val="20"/>
        </w:rPr>
        <w:t>3. Índices de vegetación y monitoreo del dosel agroforestal</w:t>
      </w:r>
    </w:p>
    <w:p w14:paraId="0000002D" w14:textId="77777777" w:rsidR="009C64D3" w:rsidRDefault="00000000">
      <w:pPr>
        <w:ind w:left="720"/>
        <w:rPr>
          <w:sz w:val="20"/>
          <w:szCs w:val="20"/>
        </w:rPr>
      </w:pPr>
      <w:r>
        <w:rPr>
          <w:sz w:val="20"/>
          <w:szCs w:val="20"/>
        </w:rPr>
        <w:t>3.1 Aplicación de los índices de vegetación en el monitoreo del dosel</w:t>
      </w:r>
    </w:p>
    <w:p w14:paraId="0000002E" w14:textId="77777777" w:rsidR="009C64D3" w:rsidRDefault="00000000">
      <w:pPr>
        <w:ind w:left="720"/>
        <w:rPr>
          <w:sz w:val="20"/>
          <w:szCs w:val="20"/>
        </w:rPr>
      </w:pPr>
      <w:r>
        <w:rPr>
          <w:sz w:val="20"/>
          <w:szCs w:val="20"/>
        </w:rPr>
        <w:t>3.2 Índices de vegetación complementarios al NDVI</w:t>
      </w:r>
    </w:p>
    <w:p w14:paraId="0000002F" w14:textId="77777777" w:rsidR="009C64D3" w:rsidRDefault="00000000">
      <w:pPr>
        <w:ind w:left="720"/>
        <w:rPr>
          <w:sz w:val="20"/>
          <w:szCs w:val="20"/>
        </w:rPr>
      </w:pPr>
      <w:r>
        <w:rPr>
          <w:sz w:val="20"/>
          <w:szCs w:val="20"/>
        </w:rPr>
        <w:t>3.3 Herramientas para el cálculo de índices de vegetación</w:t>
      </w:r>
    </w:p>
    <w:p w14:paraId="00000030" w14:textId="77777777" w:rsidR="009C64D3" w:rsidRDefault="00000000">
      <w:pPr>
        <w:ind w:left="283"/>
        <w:rPr>
          <w:b/>
          <w:bCs/>
          <w:sz w:val="20"/>
          <w:szCs w:val="20"/>
        </w:rPr>
      </w:pPr>
      <w:r>
        <w:rPr>
          <w:b/>
          <w:bCs/>
          <w:sz w:val="20"/>
          <w:szCs w:val="20"/>
        </w:rPr>
        <w:t>Referencias</w:t>
      </w:r>
    </w:p>
    <w:p w14:paraId="00000031" w14:textId="77777777" w:rsidR="009C64D3" w:rsidRDefault="009C64D3"/>
    <w:p w14:paraId="00000032" w14:textId="77777777" w:rsidR="009C64D3" w:rsidRDefault="009C64D3"/>
    <w:p w14:paraId="00000033" w14:textId="77777777" w:rsidR="009C64D3" w:rsidRDefault="00000000">
      <w:r>
        <w:tab/>
      </w:r>
    </w:p>
    <w:p w14:paraId="00000034" w14:textId="77777777" w:rsidR="009C64D3" w:rsidRDefault="00000000">
      <w:pPr>
        <w:numPr>
          <w:ilvl w:val="0"/>
          <w:numId w:val="2"/>
        </w:numPr>
        <w:pBdr>
          <w:top w:val="nil"/>
          <w:left w:val="nil"/>
          <w:bottom w:val="nil"/>
          <w:right w:val="nil"/>
          <w:between w:val="nil"/>
        </w:pBdr>
        <w:ind w:left="284" w:hanging="284"/>
        <w:jc w:val="both"/>
        <w:rPr>
          <w:b/>
          <w:bCs/>
          <w:sz w:val="20"/>
          <w:szCs w:val="20"/>
        </w:rPr>
      </w:pPr>
      <w:r>
        <w:rPr>
          <w:b/>
          <w:bCs/>
          <w:sz w:val="20"/>
          <w:szCs w:val="20"/>
        </w:rPr>
        <w:t>INTRODUCCIÓN</w:t>
      </w:r>
    </w:p>
    <w:p w14:paraId="00000035" w14:textId="77777777" w:rsidR="009C64D3" w:rsidRDefault="009C64D3">
      <w:pPr>
        <w:pBdr>
          <w:top w:val="nil"/>
          <w:left w:val="nil"/>
          <w:bottom w:val="nil"/>
          <w:right w:val="nil"/>
          <w:between w:val="nil"/>
        </w:pBdr>
        <w:jc w:val="both"/>
        <w:rPr>
          <w:b/>
          <w:bCs/>
          <w:sz w:val="20"/>
          <w:szCs w:val="20"/>
        </w:rPr>
      </w:pPr>
    </w:p>
    <w:p w14:paraId="00000036" w14:textId="77777777" w:rsidR="009C64D3" w:rsidRDefault="00000000">
      <w:pPr>
        <w:spacing w:before="240" w:after="240"/>
        <w:jc w:val="both"/>
        <w:rPr>
          <w:sz w:val="20"/>
          <w:szCs w:val="20"/>
        </w:rPr>
      </w:pPr>
      <w:r>
        <w:rPr>
          <w:sz w:val="20"/>
          <w:szCs w:val="20"/>
        </w:rPr>
        <w:t>La agroforestería integra especies leñosas perennes con cultivos agrícolas o ganadería dentro de un mismo espacio, lo que genera sistemas productivos con características espaciales, ambientales y funcionales que requieren información precisa para su planificación y seguimiento. En este contexto, las tecnologías geoespaciales permiten caracterizar el territorio, analizar la distribución de sus componentes y reconocer cambios relacionados con el uso del suelo, la cobertura vegetal y las condiciones del sistema agroforestal.</w:t>
      </w:r>
    </w:p>
    <w:p w14:paraId="00000037" w14:textId="77777777" w:rsidR="009C64D3" w:rsidRDefault="00000000">
      <w:pPr>
        <w:spacing w:before="240" w:after="240"/>
        <w:jc w:val="both"/>
        <w:rPr>
          <w:sz w:val="20"/>
          <w:szCs w:val="20"/>
        </w:rPr>
      </w:pPr>
      <w:r>
        <w:rPr>
          <w:sz w:val="20"/>
          <w:szCs w:val="20"/>
        </w:rPr>
        <w:t>El uso de sistemas de información geográfica, imágenes satelitales, sensores y vehículos aéreos no tripulados facilita la obtención y el análisis de datos asociados con diferentes variables del territorio. Estas herramientas permiten apoyar el monitoreo de la vegetación, la estimación de biomasa y captura de carbono, el análisis de condiciones del suelo y la identificación de cambios en el paisaje, contribuyendo a una gestión más informada de los sistemas agroforestales.</w:t>
      </w:r>
    </w:p>
    <w:p w14:paraId="00000038" w14:textId="77777777" w:rsidR="009C64D3" w:rsidRDefault="00000000">
      <w:pPr>
        <w:spacing w:before="240" w:after="240"/>
        <w:jc w:val="both"/>
        <w:rPr>
          <w:sz w:val="20"/>
          <w:szCs w:val="20"/>
        </w:rPr>
      </w:pPr>
      <w:r>
        <w:rPr>
          <w:sz w:val="20"/>
          <w:szCs w:val="20"/>
        </w:rPr>
        <w:t>A partir de este enfoque, el componente aborda los fundamentos de las tecnologías geoespaciales, los procesos de captura y procesamiento de información y el uso de índices de vegetación para el monitoreo del dosel agroforestal. De esta manera, se establece una base conceptual y técnica para comprender la utilidad de la información georreferenciada en el análisis y la toma de decisiones relacionadas con el territorio agroforestal.</w:t>
      </w:r>
    </w:p>
    <w:p w14:paraId="00000039" w14:textId="77777777" w:rsidR="009C64D3" w:rsidRDefault="009C64D3">
      <w:pPr>
        <w:pBdr>
          <w:top w:val="nil"/>
          <w:left w:val="nil"/>
          <w:bottom w:val="nil"/>
          <w:right w:val="nil"/>
          <w:between w:val="nil"/>
        </w:pBdr>
        <w:rPr>
          <w:b/>
          <w:bCs/>
          <w:sz w:val="20"/>
          <w:szCs w:val="20"/>
        </w:rPr>
      </w:pPr>
    </w:p>
    <w:p w14:paraId="0000003A" w14:textId="77777777" w:rsidR="009C64D3" w:rsidRDefault="00000000">
      <w:pPr>
        <w:pBdr>
          <w:top w:val="nil"/>
          <w:left w:val="nil"/>
          <w:bottom w:val="nil"/>
          <w:right w:val="nil"/>
          <w:between w:val="nil"/>
        </w:pBdr>
        <w:jc w:val="both"/>
        <w:rPr>
          <w:b/>
          <w:bCs/>
          <w:sz w:val="20"/>
          <w:szCs w:val="20"/>
        </w:rPr>
      </w:pPr>
      <w:r>
        <w:br w:type="page"/>
      </w:r>
    </w:p>
    <w:p w14:paraId="0000003B" w14:textId="77777777" w:rsidR="009C64D3" w:rsidRDefault="00000000">
      <w:pPr>
        <w:numPr>
          <w:ilvl w:val="0"/>
          <w:numId w:val="2"/>
        </w:numPr>
        <w:pBdr>
          <w:top w:val="nil"/>
          <w:left w:val="nil"/>
          <w:bottom w:val="nil"/>
          <w:right w:val="nil"/>
          <w:between w:val="nil"/>
        </w:pBdr>
        <w:ind w:left="284" w:hanging="284"/>
        <w:jc w:val="both"/>
        <w:rPr>
          <w:b/>
          <w:bCs/>
          <w:sz w:val="20"/>
          <w:szCs w:val="20"/>
        </w:rPr>
      </w:pPr>
      <w:r>
        <w:rPr>
          <w:b/>
          <w:bCs/>
          <w:sz w:val="20"/>
          <w:szCs w:val="20"/>
        </w:rPr>
        <w:lastRenderedPageBreak/>
        <w:t xml:space="preserve">DESARROLLO DE CONTENIDOS </w:t>
      </w:r>
    </w:p>
    <w:p w14:paraId="0000003C" w14:textId="77777777" w:rsidR="009C64D3" w:rsidRDefault="009C64D3">
      <w:pPr>
        <w:rPr>
          <w:b/>
          <w:bCs/>
          <w:sz w:val="20"/>
          <w:szCs w:val="20"/>
        </w:rPr>
      </w:pPr>
    </w:p>
    <w:p w14:paraId="0000003D" w14:textId="77777777" w:rsidR="009C64D3" w:rsidRDefault="00000000">
      <w:pPr>
        <w:pStyle w:val="Ttulo1"/>
        <w:spacing w:before="120"/>
        <w:rPr>
          <w:b/>
          <w:bCs/>
          <w:sz w:val="20"/>
          <w:szCs w:val="20"/>
        </w:rPr>
      </w:pPr>
      <w:bookmarkStart w:id="0" w:name="_heading=h.2hx58odb9w5k" w:colFirst="0" w:colLast="0"/>
      <w:bookmarkEnd w:id="0"/>
      <w:r>
        <w:rPr>
          <w:b/>
          <w:bCs/>
          <w:sz w:val="20"/>
          <w:szCs w:val="20"/>
        </w:rPr>
        <w:t>1. Fundamentos de las tecnologías geoespaciales en el ámbito agroforestal</w:t>
      </w:r>
    </w:p>
    <w:p w14:paraId="0000003E" w14:textId="77777777" w:rsidR="009C64D3" w:rsidRDefault="009C64D3">
      <w:pPr>
        <w:spacing w:line="240" w:lineRule="auto"/>
        <w:jc w:val="both"/>
        <w:rPr>
          <w:b/>
          <w:bCs/>
          <w:sz w:val="20"/>
          <w:szCs w:val="20"/>
        </w:rPr>
      </w:pPr>
    </w:p>
    <w:tbl>
      <w:tblPr>
        <w:tblStyle w:val="affffff6"/>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5"/>
        <w:gridCol w:w="4110"/>
      </w:tblGrid>
      <w:tr w:rsidR="009C64D3" w14:paraId="7514C7E8" w14:textId="77777777">
        <w:tc>
          <w:tcPr>
            <w:tcW w:w="5805" w:type="dxa"/>
            <w:shd w:val="clear" w:color="auto" w:fill="E2EFD9"/>
          </w:tcPr>
          <w:p w14:paraId="0000003F" w14:textId="77777777" w:rsidR="009C64D3" w:rsidRDefault="00000000">
            <w:pPr>
              <w:spacing w:after="160" w:line="276" w:lineRule="auto"/>
              <w:jc w:val="both"/>
              <w:rPr>
                <w:sz w:val="20"/>
                <w:szCs w:val="20"/>
              </w:rPr>
            </w:pPr>
            <w:r>
              <w:rPr>
                <w:sz w:val="20"/>
                <w:szCs w:val="20"/>
              </w:rPr>
              <w:t>El análisis geoespacial integra herramientas informáticas y sensores para capturar, almacenar, procesar, analizar y representar datos asociados con datos geográficos sobre la superficie terrestre. En los sistemas agroforestales, estas tecnologías permiten caracterizar condiciones del territorio, reconocer su variabilidad espacial y temporal y generar información que apoya la toma de decisiones técnicas (Chuvieco, 2019).</w:t>
            </w:r>
          </w:p>
        </w:tc>
        <w:tc>
          <w:tcPr>
            <w:tcW w:w="4110" w:type="dxa"/>
            <w:shd w:val="clear" w:color="auto" w:fill="E2EFD9"/>
          </w:tcPr>
          <w:p w14:paraId="00000040" w14:textId="77777777" w:rsidR="009C64D3" w:rsidRDefault="00000000">
            <w:pPr>
              <w:jc w:val="center"/>
              <w:rPr>
                <w:b/>
                <w:bCs/>
                <w:sz w:val="20"/>
                <w:szCs w:val="20"/>
              </w:rPr>
            </w:pPr>
            <w:r>
              <w:rPr>
                <w:b/>
                <w:bCs/>
                <w:noProof/>
                <w:sz w:val="20"/>
                <w:szCs w:val="20"/>
              </w:rPr>
              <w:drawing>
                <wp:inline distT="114300" distB="114300" distL="114300" distR="114300" wp14:anchorId="595FC169" wp14:editId="498BBF46">
                  <wp:extent cx="2476500" cy="1397000"/>
                  <wp:effectExtent l="0" t="0" r="0" b="0"/>
                  <wp:docPr id="1388758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
                          <a:srcRect/>
                          <a:stretch>
                            <a:fillRect/>
                          </a:stretch>
                        </pic:blipFill>
                        <pic:spPr>
                          <a:xfrm>
                            <a:off x="0" y="0"/>
                            <a:ext cx="2476500" cy="1397000"/>
                          </a:xfrm>
                          <a:prstGeom prst="rect">
                            <a:avLst/>
                          </a:prstGeom>
                          <a:ln/>
                        </pic:spPr>
                      </pic:pic>
                    </a:graphicData>
                  </a:graphic>
                </wp:inline>
              </w:drawing>
            </w:r>
          </w:p>
        </w:tc>
      </w:tr>
    </w:tbl>
    <w:p w14:paraId="00000041" w14:textId="77777777" w:rsidR="009C64D3" w:rsidRDefault="009C64D3">
      <w:pPr>
        <w:spacing w:after="160"/>
        <w:jc w:val="both"/>
        <w:rPr>
          <w:sz w:val="20"/>
          <w:szCs w:val="20"/>
        </w:rPr>
      </w:pPr>
    </w:p>
    <w:p w14:paraId="00000042" w14:textId="77777777" w:rsidR="009C64D3" w:rsidRDefault="00000000">
      <w:pPr>
        <w:spacing w:after="160"/>
        <w:jc w:val="both"/>
        <w:rPr>
          <w:sz w:val="20"/>
          <w:szCs w:val="20"/>
        </w:rPr>
      </w:pPr>
      <w:r>
        <w:rPr>
          <w:sz w:val="20"/>
          <w:szCs w:val="20"/>
        </w:rPr>
        <w:t>La integración de los Sistemas de Información Geográfica (SIG), la teledetección y los Sistemas Globales de Navegación por Satélite (GNSS) permite transformar datos obtenidos del territorio en información georreferenciada útil para la planificación y el manejo de los sistemas agroforestales. Su aplicación contribuye al análisis de las condiciones ambientales y productivas del territorio.</w:t>
      </w:r>
    </w:p>
    <w:p w14:paraId="00000043" w14:textId="77777777" w:rsidR="009C64D3" w:rsidRDefault="009C64D3">
      <w:pPr>
        <w:spacing w:after="160"/>
        <w:jc w:val="both"/>
        <w:rPr>
          <w:sz w:val="20"/>
          <w:szCs w:val="20"/>
        </w:rPr>
      </w:pPr>
    </w:p>
    <w:p w14:paraId="00000044" w14:textId="77777777" w:rsidR="009C64D3" w:rsidRDefault="00000000">
      <w:pPr>
        <w:spacing w:after="160"/>
        <w:jc w:val="both"/>
        <w:rPr>
          <w:sz w:val="20"/>
          <w:szCs w:val="20"/>
        </w:rPr>
      </w:pPr>
      <w:r>
        <w:rPr>
          <w:sz w:val="20"/>
          <w:szCs w:val="20"/>
        </w:rPr>
        <w:t>La relación entre el territorio agroforestal y las tecnologías geoespaciales se organiza mediante los siguientes elementos:</w:t>
      </w:r>
    </w:p>
    <w:p w14:paraId="00000045" w14:textId="77777777" w:rsidR="009C64D3" w:rsidRDefault="009C64D3">
      <w:pPr>
        <w:spacing w:line="240" w:lineRule="auto"/>
        <w:jc w:val="both"/>
        <w:rPr>
          <w:sz w:val="20"/>
          <w:szCs w:val="20"/>
        </w:rPr>
      </w:pPr>
    </w:p>
    <w:sdt>
      <w:sdtPr>
        <w:tag w:val="goog_rdk_0"/>
        <w:id w:val="-1964232139"/>
        <w:lock w:val="contentLocked"/>
      </w:sdtPr>
      <w:sdtContent>
        <w:tbl>
          <w:tblPr>
            <w:tblStyle w:val="affffff7"/>
            <w:tblW w:w="988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85"/>
            <w:gridCol w:w="5400"/>
            <w:gridCol w:w="2700"/>
          </w:tblGrid>
          <w:tr w:rsidR="009C64D3" w14:paraId="3946060B" w14:textId="77777777">
            <w:trPr>
              <w:trHeight w:val="285"/>
            </w:trPr>
            <w:tc>
              <w:tcPr>
                <w:tcW w:w="988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046" w14:textId="77777777" w:rsidR="009C64D3" w:rsidRDefault="00000000">
                <w:pPr>
                  <w:spacing w:line="240" w:lineRule="auto"/>
                  <w:jc w:val="center"/>
                  <w:rPr>
                    <w:rFonts w:ascii="Times New Roman" w:eastAsia="Times New Roman" w:hAnsi="Times New Roman" w:cs="Times New Roman"/>
                    <w:b/>
                    <w:bCs/>
                    <w:sz w:val="20"/>
                    <w:szCs w:val="20"/>
                  </w:rPr>
                </w:pPr>
                <w:r>
                  <w:rPr>
                    <w:b/>
                    <w:bCs/>
                    <w:sz w:val="20"/>
                    <w:szCs w:val="20"/>
                  </w:rPr>
                  <w:t>Tarjetas</w:t>
                </w:r>
              </w:p>
            </w:tc>
          </w:tr>
          <w:tr w:rsidR="009C64D3" w14:paraId="4E62AA17"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49" w14:textId="77777777" w:rsidR="009C64D3" w:rsidRDefault="00000000">
                <w:pPr>
                  <w:spacing w:line="240" w:lineRule="auto"/>
                  <w:jc w:val="both"/>
                  <w:rPr>
                    <w:b/>
                    <w:bCs/>
                    <w:sz w:val="20"/>
                    <w:szCs w:val="20"/>
                  </w:rPr>
                </w:pPr>
                <w:r>
                  <w:rPr>
                    <w:b/>
                    <w:bCs/>
                    <w:sz w:val="20"/>
                    <w:szCs w:val="20"/>
                  </w:rPr>
                  <w:t>Territorio agroforestal</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4A" w14:textId="77777777" w:rsidR="009C64D3" w:rsidRDefault="00000000">
                <w:pPr>
                  <w:spacing w:line="240" w:lineRule="auto"/>
                  <w:jc w:val="both"/>
                  <w:rPr>
                    <w:sz w:val="20"/>
                    <w:szCs w:val="20"/>
                  </w:rPr>
                </w:pPr>
                <w:r>
                  <w:rPr>
                    <w:sz w:val="20"/>
                    <w:szCs w:val="20"/>
                  </w:rPr>
                  <w:t>Integra componentes leñosos y no leñosos dentro de un mismo espacio geográfico, donde se establecen interacciones ecológicas y productivas (agrícola y ganadería) (Farfán Valencia, 2014).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4B" w14:textId="77777777" w:rsidR="009C64D3" w:rsidRDefault="00000000">
                <w:pPr>
                  <w:spacing w:line="240" w:lineRule="auto"/>
                  <w:jc w:val="center"/>
                  <w:rPr>
                    <w:sz w:val="20"/>
                    <w:szCs w:val="20"/>
                  </w:rPr>
                </w:pPr>
                <w:r>
                  <w:rPr>
                    <w:noProof/>
                    <w:sz w:val="20"/>
                    <w:szCs w:val="20"/>
                  </w:rPr>
                  <w:drawing>
                    <wp:inline distT="114300" distB="114300" distL="114300" distR="114300" wp14:anchorId="1135AA03" wp14:editId="52C7F6CD">
                      <wp:extent cx="1704975" cy="952500"/>
                      <wp:effectExtent l="0" t="0" r="0" b="0"/>
                      <wp:docPr id="1388758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1704975" cy="952500"/>
                              </a:xfrm>
                              <a:prstGeom prst="rect">
                                <a:avLst/>
                              </a:prstGeom>
                              <a:ln/>
                            </pic:spPr>
                          </pic:pic>
                        </a:graphicData>
                      </a:graphic>
                    </wp:inline>
                  </w:drawing>
                </w:r>
              </w:p>
            </w:tc>
          </w:tr>
          <w:tr w:rsidR="009C64D3" w14:paraId="3A2402E2"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4C" w14:textId="77777777" w:rsidR="009C64D3" w:rsidRDefault="00000000">
                <w:pPr>
                  <w:spacing w:line="240" w:lineRule="auto"/>
                  <w:jc w:val="both"/>
                  <w:rPr>
                    <w:b/>
                    <w:bCs/>
                    <w:sz w:val="20"/>
                    <w:szCs w:val="20"/>
                  </w:rPr>
                </w:pPr>
                <w:r>
                  <w:rPr>
                    <w:b/>
                    <w:bCs/>
                    <w:sz w:val="20"/>
                    <w:szCs w:val="20"/>
                  </w:rPr>
                  <w:t>Información geoespacial</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4D" w14:textId="77777777" w:rsidR="009C64D3" w:rsidRDefault="00000000">
                <w:pPr>
                  <w:spacing w:line="240" w:lineRule="auto"/>
                  <w:jc w:val="both"/>
                  <w:rPr>
                    <w:sz w:val="20"/>
                    <w:szCs w:val="20"/>
                  </w:rPr>
                </w:pPr>
                <w:r>
                  <w:rPr>
                    <w:sz w:val="20"/>
                    <w:szCs w:val="20"/>
                  </w:rPr>
                  <w:t>Relaciona datos con una ubicación determinada y permite caracterizar condiciones y cambios del territorio.</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4E" w14:textId="77777777" w:rsidR="009C64D3" w:rsidRDefault="00000000">
                <w:pPr>
                  <w:spacing w:line="240" w:lineRule="auto"/>
                  <w:jc w:val="center"/>
                  <w:rPr>
                    <w:sz w:val="20"/>
                    <w:szCs w:val="20"/>
                  </w:rPr>
                </w:pPr>
                <w:r>
                  <w:rPr>
                    <w:noProof/>
                    <w:sz w:val="20"/>
                    <w:szCs w:val="20"/>
                  </w:rPr>
                  <w:drawing>
                    <wp:inline distT="114300" distB="114300" distL="114300" distR="114300" wp14:anchorId="5C53FBC6" wp14:editId="1CEECAF3">
                      <wp:extent cx="1704975" cy="901700"/>
                      <wp:effectExtent l="0" t="0" r="0" b="0"/>
                      <wp:docPr id="1388758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a:stretch>
                                <a:fillRect/>
                              </a:stretch>
                            </pic:blipFill>
                            <pic:spPr>
                              <a:xfrm>
                                <a:off x="0" y="0"/>
                                <a:ext cx="1704975" cy="901700"/>
                              </a:xfrm>
                              <a:prstGeom prst="rect">
                                <a:avLst/>
                              </a:prstGeom>
                              <a:ln/>
                            </pic:spPr>
                          </pic:pic>
                        </a:graphicData>
                      </a:graphic>
                    </wp:inline>
                  </w:drawing>
                </w:r>
              </w:p>
            </w:tc>
          </w:tr>
          <w:tr w:rsidR="009C64D3" w14:paraId="128F595E"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4F" w14:textId="77777777" w:rsidR="009C64D3" w:rsidRDefault="00000000">
                <w:pPr>
                  <w:spacing w:line="240" w:lineRule="auto"/>
                  <w:jc w:val="both"/>
                  <w:rPr>
                    <w:b/>
                    <w:bCs/>
                    <w:sz w:val="20"/>
                    <w:szCs w:val="20"/>
                  </w:rPr>
                </w:pPr>
                <w:r>
                  <w:rPr>
                    <w:b/>
                    <w:bCs/>
                    <w:sz w:val="20"/>
                    <w:szCs w:val="20"/>
                  </w:rPr>
                  <w:t>Tecnologías geoespaciales</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50" w14:textId="77777777" w:rsidR="009C64D3" w:rsidRDefault="00000000">
                <w:pPr>
                  <w:spacing w:line="240" w:lineRule="auto"/>
                  <w:jc w:val="both"/>
                  <w:rPr>
                    <w:sz w:val="20"/>
                    <w:szCs w:val="20"/>
                  </w:rPr>
                </w:pPr>
                <w:r>
                  <w:rPr>
                    <w:sz w:val="20"/>
                    <w:szCs w:val="20"/>
                  </w:rPr>
                  <w:t>Facilitan la adquisición, almacenamiento, procesamiento, análisis y representación de información georreferenciada (Chuvieco, 2019).</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51" w14:textId="77777777" w:rsidR="009C64D3" w:rsidRDefault="00000000">
                <w:pPr>
                  <w:spacing w:line="240" w:lineRule="auto"/>
                  <w:jc w:val="center"/>
                  <w:rPr>
                    <w:sz w:val="20"/>
                    <w:szCs w:val="20"/>
                  </w:rPr>
                </w:pPr>
                <w:r>
                  <w:rPr>
                    <w:noProof/>
                    <w:sz w:val="20"/>
                    <w:szCs w:val="20"/>
                  </w:rPr>
                  <w:drawing>
                    <wp:inline distT="114300" distB="114300" distL="114300" distR="114300" wp14:anchorId="0FEC94F6" wp14:editId="021B5C31">
                      <wp:extent cx="1704975" cy="1270000"/>
                      <wp:effectExtent l="0" t="0" r="0" b="0"/>
                      <wp:docPr id="1388758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1704975" cy="1270000"/>
                              </a:xfrm>
                              <a:prstGeom prst="rect">
                                <a:avLst/>
                              </a:prstGeom>
                              <a:ln/>
                            </pic:spPr>
                          </pic:pic>
                        </a:graphicData>
                      </a:graphic>
                    </wp:inline>
                  </w:drawing>
                </w:r>
              </w:p>
            </w:tc>
          </w:tr>
          <w:tr w:rsidR="009C64D3" w14:paraId="206426A5"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52" w14:textId="77777777" w:rsidR="009C64D3" w:rsidRDefault="00000000">
                <w:pPr>
                  <w:spacing w:line="240" w:lineRule="auto"/>
                  <w:jc w:val="both"/>
                  <w:rPr>
                    <w:b/>
                    <w:bCs/>
                    <w:sz w:val="20"/>
                    <w:szCs w:val="20"/>
                  </w:rPr>
                </w:pPr>
                <w:r>
                  <w:rPr>
                    <w:b/>
                    <w:bCs/>
                    <w:sz w:val="20"/>
                    <w:szCs w:val="20"/>
                  </w:rPr>
                  <w:lastRenderedPageBreak/>
                  <w:t>Toma de decisiones técnicas</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53" w14:textId="77777777" w:rsidR="009C64D3" w:rsidRDefault="00000000">
                <w:pPr>
                  <w:spacing w:line="240" w:lineRule="auto"/>
                  <w:jc w:val="both"/>
                  <w:rPr>
                    <w:sz w:val="20"/>
                    <w:szCs w:val="20"/>
                  </w:rPr>
                </w:pPr>
                <w:r>
                  <w:rPr>
                    <w:sz w:val="20"/>
                    <w:szCs w:val="20"/>
                  </w:rPr>
                  <w:t>La información obtenida contribuye al análisis del uso del suelo, el dosel vegetal y otras condiciones relevantes para el manejo de los sistemas agroforestales.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54" w14:textId="77777777" w:rsidR="009C64D3" w:rsidRDefault="00000000">
                <w:pPr>
                  <w:spacing w:line="240" w:lineRule="auto"/>
                  <w:jc w:val="center"/>
                  <w:rPr>
                    <w:sz w:val="20"/>
                    <w:szCs w:val="20"/>
                  </w:rPr>
                </w:pPr>
                <w:r>
                  <w:rPr>
                    <w:noProof/>
                    <w:sz w:val="20"/>
                    <w:szCs w:val="20"/>
                  </w:rPr>
                  <w:drawing>
                    <wp:inline distT="114300" distB="114300" distL="114300" distR="114300" wp14:anchorId="6EAC6777" wp14:editId="670A2BC1">
                      <wp:extent cx="1704975" cy="952500"/>
                      <wp:effectExtent l="0" t="0" r="0" b="0"/>
                      <wp:docPr id="1388758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1704975" cy="952500"/>
                              </a:xfrm>
                              <a:prstGeom prst="rect">
                                <a:avLst/>
                              </a:prstGeom>
                              <a:ln/>
                            </pic:spPr>
                          </pic:pic>
                        </a:graphicData>
                      </a:graphic>
                    </wp:inline>
                  </w:drawing>
                </w:r>
              </w:p>
            </w:tc>
          </w:tr>
        </w:tbl>
      </w:sdtContent>
    </w:sdt>
    <w:p w14:paraId="00000055" w14:textId="77777777" w:rsidR="009C64D3" w:rsidRDefault="009C64D3">
      <w:pPr>
        <w:spacing w:line="240" w:lineRule="auto"/>
        <w:jc w:val="both"/>
        <w:rPr>
          <w:sz w:val="20"/>
          <w:szCs w:val="20"/>
        </w:rPr>
      </w:pPr>
    </w:p>
    <w:p w14:paraId="00000056" w14:textId="77777777" w:rsidR="009C64D3" w:rsidRDefault="009C64D3">
      <w:pPr>
        <w:spacing w:line="240" w:lineRule="auto"/>
        <w:jc w:val="both"/>
        <w:rPr>
          <w:sz w:val="20"/>
          <w:szCs w:val="20"/>
        </w:rPr>
      </w:pPr>
    </w:p>
    <w:p w14:paraId="00000057" w14:textId="77777777" w:rsidR="009C64D3" w:rsidRDefault="00000000">
      <w:pPr>
        <w:pStyle w:val="Ttulo2"/>
        <w:spacing w:before="80"/>
        <w:rPr>
          <w:b/>
          <w:bCs/>
          <w:sz w:val="20"/>
          <w:szCs w:val="20"/>
        </w:rPr>
      </w:pPr>
      <w:bookmarkStart w:id="1" w:name="_heading=h.vzdbhok2v1og" w:colFirst="0" w:colLast="0"/>
      <w:bookmarkEnd w:id="1"/>
      <w:r>
        <w:rPr>
          <w:b/>
          <w:bCs/>
          <w:sz w:val="20"/>
          <w:szCs w:val="20"/>
        </w:rPr>
        <w:t>1.1 Sistemas agroforestales y análisis geoespacial</w:t>
      </w:r>
    </w:p>
    <w:p w14:paraId="00000058" w14:textId="77777777" w:rsidR="009C64D3" w:rsidRDefault="009C64D3">
      <w:pPr>
        <w:spacing w:after="120"/>
        <w:jc w:val="both"/>
        <w:rPr>
          <w:sz w:val="20"/>
          <w:szCs w:val="20"/>
        </w:rPr>
      </w:pPr>
    </w:p>
    <w:p w14:paraId="00000059" w14:textId="77777777" w:rsidR="009C64D3" w:rsidRDefault="00000000">
      <w:pPr>
        <w:spacing w:after="120"/>
        <w:jc w:val="both"/>
        <w:rPr>
          <w:sz w:val="20"/>
          <w:szCs w:val="20"/>
        </w:rPr>
      </w:pPr>
      <w:r>
        <w:rPr>
          <w:sz w:val="20"/>
          <w:szCs w:val="20"/>
        </w:rPr>
        <w:t>Los sistemas agroforestales integran componentes leñosos, como árboles o arbustos, con componentes no leñosos, como cultivos o pastos, dentro de un mismo espacio geográfico. Esta interacción configura unidades productivas con características espaciales que pueden analizarse mediante información georreferenciada para apoyar su planificación y manejo (Farfán Valencia, 2014).</w:t>
      </w:r>
    </w:p>
    <w:p w14:paraId="0000005A" w14:textId="77777777" w:rsidR="009C64D3" w:rsidRDefault="009C64D3">
      <w:pPr>
        <w:spacing w:after="120"/>
        <w:jc w:val="both"/>
        <w:rPr>
          <w:sz w:val="20"/>
          <w:szCs w:val="20"/>
        </w:rPr>
      </w:pPr>
    </w:p>
    <w:p w14:paraId="0000005B" w14:textId="77777777" w:rsidR="009C64D3" w:rsidRDefault="00000000">
      <w:pPr>
        <w:spacing w:after="120"/>
        <w:jc w:val="both"/>
        <w:rPr>
          <w:sz w:val="20"/>
          <w:szCs w:val="20"/>
        </w:rPr>
      </w:pPr>
      <w:r>
        <w:rPr>
          <w:sz w:val="20"/>
          <w:szCs w:val="20"/>
        </w:rPr>
        <w:t>Los conceptos que fundamentan el análisis del territorio agroforestal se presentan a continuación:</w:t>
      </w:r>
    </w:p>
    <w:p w14:paraId="0000005C" w14:textId="77777777" w:rsidR="009C64D3" w:rsidRDefault="009C64D3">
      <w:pPr>
        <w:spacing w:after="120"/>
        <w:jc w:val="both"/>
        <w:rPr>
          <w:sz w:val="20"/>
          <w:szCs w:val="20"/>
        </w:rPr>
      </w:pPr>
    </w:p>
    <w:p w14:paraId="0000005D" w14:textId="77777777" w:rsidR="009C64D3" w:rsidRDefault="009C64D3">
      <w:pPr>
        <w:spacing w:line="240" w:lineRule="auto"/>
        <w:jc w:val="both"/>
        <w:rPr>
          <w:sz w:val="20"/>
          <w:szCs w:val="20"/>
        </w:rPr>
      </w:pPr>
    </w:p>
    <w:sdt>
      <w:sdtPr>
        <w:tag w:val="goog_rdk_1"/>
        <w:id w:val="-975766367"/>
        <w:lock w:val="contentLocked"/>
      </w:sdtPr>
      <w:sdtContent>
        <w:tbl>
          <w:tblPr>
            <w:tblStyle w:val="affffff8"/>
            <w:tblW w:w="988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85"/>
            <w:gridCol w:w="5400"/>
            <w:gridCol w:w="2700"/>
          </w:tblGrid>
          <w:tr w:rsidR="009C64D3" w14:paraId="3D2B43F6" w14:textId="77777777">
            <w:trPr>
              <w:trHeight w:val="285"/>
            </w:trPr>
            <w:tc>
              <w:tcPr>
                <w:tcW w:w="988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05E" w14:textId="77777777" w:rsidR="009C64D3" w:rsidRDefault="00000000">
                <w:pPr>
                  <w:spacing w:line="240" w:lineRule="auto"/>
                  <w:jc w:val="center"/>
                  <w:rPr>
                    <w:rFonts w:ascii="Times New Roman" w:eastAsia="Times New Roman" w:hAnsi="Times New Roman" w:cs="Times New Roman"/>
                    <w:b/>
                    <w:bCs/>
                    <w:sz w:val="20"/>
                    <w:szCs w:val="20"/>
                  </w:rPr>
                </w:pPr>
                <w:r>
                  <w:rPr>
                    <w:b/>
                    <w:bCs/>
                    <w:sz w:val="20"/>
                    <w:szCs w:val="20"/>
                  </w:rPr>
                  <w:t>Slider</w:t>
                </w:r>
              </w:p>
            </w:tc>
          </w:tr>
          <w:tr w:rsidR="009C64D3" w14:paraId="3FDAFACD"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61" w14:textId="77777777" w:rsidR="009C64D3" w:rsidRDefault="00000000">
                <w:pPr>
                  <w:spacing w:line="240" w:lineRule="auto"/>
                  <w:jc w:val="both"/>
                  <w:rPr>
                    <w:b/>
                    <w:bCs/>
                    <w:sz w:val="20"/>
                    <w:szCs w:val="20"/>
                  </w:rPr>
                </w:pPr>
                <w:r>
                  <w:rPr>
                    <w:b/>
                    <w:bCs/>
                    <w:sz w:val="20"/>
                    <w:szCs w:val="20"/>
                  </w:rPr>
                  <w:t>Sistema agroforestal</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62" w14:textId="77777777" w:rsidR="009C64D3" w:rsidRDefault="00000000">
                <w:pPr>
                  <w:spacing w:line="240" w:lineRule="auto"/>
                  <w:jc w:val="both"/>
                  <w:rPr>
                    <w:sz w:val="20"/>
                    <w:szCs w:val="20"/>
                  </w:rPr>
                </w:pPr>
                <w:r>
                  <w:rPr>
                    <w:sz w:val="20"/>
                    <w:szCs w:val="20"/>
                  </w:rPr>
                  <w:t>Arreglo productivo en el que interactúan componentes leñosos, como árboles o arbustos, y componentes no leñosos, como cultivos o pastos, dentro de un mismo espacio geográfico, con el propósito de generar sinergias ecológicas y económicas (Farfán Valencia, 2014).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63" w14:textId="77777777" w:rsidR="009C64D3" w:rsidRDefault="00000000">
                <w:pPr>
                  <w:spacing w:line="240" w:lineRule="auto"/>
                  <w:jc w:val="center"/>
                  <w:rPr>
                    <w:sz w:val="20"/>
                    <w:szCs w:val="20"/>
                  </w:rPr>
                </w:pPr>
                <w:r>
                  <w:rPr>
                    <w:noProof/>
                    <w:sz w:val="20"/>
                    <w:szCs w:val="20"/>
                  </w:rPr>
                  <w:drawing>
                    <wp:inline distT="114300" distB="114300" distL="114300" distR="114300" wp14:anchorId="0C3D6EB2" wp14:editId="2BCC6580">
                      <wp:extent cx="1704975" cy="1143000"/>
                      <wp:effectExtent l="0" t="0" r="0" b="0"/>
                      <wp:docPr id="13887583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3"/>
                              <a:srcRect/>
                              <a:stretch>
                                <a:fillRect/>
                              </a:stretch>
                            </pic:blipFill>
                            <pic:spPr>
                              <a:xfrm>
                                <a:off x="0" y="0"/>
                                <a:ext cx="1704975" cy="1143000"/>
                              </a:xfrm>
                              <a:prstGeom prst="rect">
                                <a:avLst/>
                              </a:prstGeom>
                              <a:ln/>
                            </pic:spPr>
                          </pic:pic>
                        </a:graphicData>
                      </a:graphic>
                    </wp:inline>
                  </w:drawing>
                </w:r>
              </w:p>
            </w:tc>
          </w:tr>
          <w:tr w:rsidR="009C64D3" w14:paraId="4ED45A6C"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64" w14:textId="77777777" w:rsidR="009C64D3" w:rsidRDefault="00000000">
                <w:pPr>
                  <w:spacing w:line="240" w:lineRule="auto"/>
                  <w:jc w:val="both"/>
                  <w:rPr>
                    <w:b/>
                    <w:bCs/>
                    <w:sz w:val="20"/>
                    <w:szCs w:val="20"/>
                  </w:rPr>
                </w:pPr>
                <w:r>
                  <w:rPr>
                    <w:b/>
                    <w:bCs/>
                    <w:sz w:val="20"/>
                    <w:szCs w:val="20"/>
                  </w:rPr>
                  <w:t>Análisis geoespacial</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65" w14:textId="77777777" w:rsidR="009C64D3" w:rsidRDefault="00000000">
                <w:pPr>
                  <w:spacing w:line="240" w:lineRule="auto"/>
                  <w:jc w:val="both"/>
                  <w:rPr>
                    <w:sz w:val="20"/>
                    <w:szCs w:val="20"/>
                  </w:rPr>
                </w:pPr>
                <w:r>
                  <w:rPr>
                    <w:sz w:val="20"/>
                    <w:szCs w:val="20"/>
                  </w:rPr>
                  <w:t>Integra herramientas informáticas y sensores para capturar, almacenar, procesar, analizar y representar datos referenciados geográficamente. En los sistemas agroforestales, contribuye al análisis de la heterogeneidad del dosel vegetal, los cambios en el uso del suelo y otras condiciones del territorio (Chuvieco, 2019).</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66" w14:textId="77777777" w:rsidR="009C64D3" w:rsidRDefault="00000000">
                <w:pPr>
                  <w:spacing w:line="240" w:lineRule="auto"/>
                  <w:jc w:val="center"/>
                  <w:rPr>
                    <w:sz w:val="20"/>
                    <w:szCs w:val="20"/>
                  </w:rPr>
                </w:pPr>
                <w:r>
                  <w:rPr>
                    <w:noProof/>
                    <w:sz w:val="20"/>
                    <w:szCs w:val="20"/>
                  </w:rPr>
                  <w:drawing>
                    <wp:inline distT="114300" distB="114300" distL="114300" distR="114300" wp14:anchorId="5B5EBA3D" wp14:editId="5C1B8EB9">
                      <wp:extent cx="1704975" cy="952500"/>
                      <wp:effectExtent l="0" t="0" r="0" b="0"/>
                      <wp:docPr id="1388758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
                              <a:srcRect/>
                              <a:stretch>
                                <a:fillRect/>
                              </a:stretch>
                            </pic:blipFill>
                            <pic:spPr>
                              <a:xfrm>
                                <a:off x="0" y="0"/>
                                <a:ext cx="1704975" cy="952500"/>
                              </a:xfrm>
                              <a:prstGeom prst="rect">
                                <a:avLst/>
                              </a:prstGeom>
                              <a:ln/>
                            </pic:spPr>
                          </pic:pic>
                        </a:graphicData>
                      </a:graphic>
                    </wp:inline>
                  </w:drawing>
                </w:r>
              </w:p>
            </w:tc>
          </w:tr>
        </w:tbl>
      </w:sdtContent>
    </w:sdt>
    <w:p w14:paraId="00000067" w14:textId="77777777" w:rsidR="009C64D3" w:rsidRDefault="009C64D3">
      <w:pPr>
        <w:spacing w:line="240" w:lineRule="auto"/>
        <w:jc w:val="both"/>
        <w:rPr>
          <w:sz w:val="20"/>
          <w:szCs w:val="20"/>
        </w:rPr>
      </w:pPr>
    </w:p>
    <w:p w14:paraId="00000068" w14:textId="77777777" w:rsidR="009C64D3" w:rsidRDefault="00000000">
      <w:pPr>
        <w:spacing w:after="120"/>
        <w:jc w:val="both"/>
        <w:rPr>
          <w:sz w:val="20"/>
          <w:szCs w:val="20"/>
        </w:rPr>
      </w:pPr>
      <w:r>
        <w:rPr>
          <w:sz w:val="20"/>
          <w:szCs w:val="20"/>
        </w:rPr>
        <w:t>La relación entre los sistemas agroforestales y el análisis geoespacial permite convertir datos asociados con el territorio en información útil para apoyar la toma de decisiones técnicas.</w:t>
      </w:r>
    </w:p>
    <w:p w14:paraId="00000069" w14:textId="77777777" w:rsidR="009C64D3" w:rsidRDefault="009C64D3">
      <w:pPr>
        <w:spacing w:after="160"/>
        <w:jc w:val="both"/>
        <w:rPr>
          <w:sz w:val="20"/>
          <w:szCs w:val="20"/>
        </w:rPr>
      </w:pPr>
    </w:p>
    <w:p w14:paraId="0000006A" w14:textId="77777777" w:rsidR="009C64D3" w:rsidRDefault="00000000">
      <w:pPr>
        <w:pStyle w:val="Ttulo2"/>
        <w:spacing w:after="160"/>
        <w:jc w:val="both"/>
        <w:rPr>
          <w:b/>
          <w:bCs/>
          <w:sz w:val="20"/>
          <w:szCs w:val="20"/>
        </w:rPr>
      </w:pPr>
      <w:bookmarkStart w:id="2" w:name="_heading=h.dmdlmijsn9xg" w:colFirst="0" w:colLast="0"/>
      <w:bookmarkEnd w:id="2"/>
      <w:r>
        <w:rPr>
          <w:b/>
          <w:bCs/>
          <w:sz w:val="20"/>
          <w:szCs w:val="20"/>
        </w:rPr>
        <w:t>1.2 Tecnologías geoespaciales</w:t>
      </w:r>
    </w:p>
    <w:p w14:paraId="0000006B" w14:textId="77777777" w:rsidR="009C64D3" w:rsidRDefault="009C64D3">
      <w:pPr>
        <w:spacing w:after="160"/>
        <w:jc w:val="both"/>
        <w:rPr>
          <w:sz w:val="20"/>
          <w:szCs w:val="20"/>
        </w:rPr>
      </w:pPr>
    </w:p>
    <w:p w14:paraId="0000006C" w14:textId="77777777" w:rsidR="009C64D3" w:rsidRDefault="00000000">
      <w:pPr>
        <w:spacing w:after="160"/>
        <w:jc w:val="both"/>
        <w:rPr>
          <w:sz w:val="20"/>
          <w:szCs w:val="20"/>
        </w:rPr>
      </w:pPr>
      <w:r>
        <w:rPr>
          <w:sz w:val="20"/>
          <w:szCs w:val="20"/>
        </w:rPr>
        <w:t>Las tecnologías geoespaciales (TGE) comprenden herramientas de hardware y software empleadas y recursos tecnológicos empleados para adquirir, almacenar, analizar y presentar información georreferenciada. En el ámbito agroforestal donde interactúan árboles, cultivos agrícolas y/o ganado en una misma unidad de manejo estas tecnologías permiten tomar decisiones basadas en la variabilidad espacial y temporal.</w:t>
      </w:r>
    </w:p>
    <w:p w14:paraId="0000006D" w14:textId="77777777" w:rsidR="009C64D3" w:rsidRDefault="009C64D3">
      <w:pPr>
        <w:spacing w:after="160"/>
        <w:jc w:val="both"/>
        <w:rPr>
          <w:sz w:val="20"/>
          <w:szCs w:val="20"/>
        </w:rPr>
      </w:pPr>
    </w:p>
    <w:p w14:paraId="0000006E" w14:textId="77777777" w:rsidR="009C64D3" w:rsidRDefault="00000000">
      <w:pPr>
        <w:spacing w:after="160"/>
        <w:jc w:val="both"/>
        <w:rPr>
          <w:sz w:val="20"/>
          <w:szCs w:val="20"/>
        </w:rPr>
      </w:pPr>
      <w:r>
        <w:rPr>
          <w:sz w:val="20"/>
          <w:szCs w:val="20"/>
        </w:rPr>
        <w:lastRenderedPageBreak/>
        <w:t>Las principales tecnologías utilizadas para gestionar información georreferenciada se relacionan a continuación:</w:t>
      </w:r>
    </w:p>
    <w:p w14:paraId="0000006F" w14:textId="77777777" w:rsidR="009C64D3" w:rsidRDefault="009C64D3">
      <w:pPr>
        <w:spacing w:line="240" w:lineRule="auto"/>
        <w:jc w:val="both"/>
        <w:rPr>
          <w:sz w:val="20"/>
          <w:szCs w:val="20"/>
        </w:rPr>
      </w:pPr>
    </w:p>
    <w:sdt>
      <w:sdtPr>
        <w:tag w:val="goog_rdk_2"/>
        <w:id w:val="-756054000"/>
        <w:lock w:val="contentLocked"/>
      </w:sdtPr>
      <w:sdtContent>
        <w:tbl>
          <w:tblPr>
            <w:tblStyle w:val="affffff9"/>
            <w:tblW w:w="988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85"/>
            <w:gridCol w:w="5400"/>
            <w:gridCol w:w="2700"/>
          </w:tblGrid>
          <w:tr w:rsidR="009C64D3" w14:paraId="439DB3CE" w14:textId="77777777">
            <w:trPr>
              <w:trHeight w:val="285"/>
            </w:trPr>
            <w:tc>
              <w:tcPr>
                <w:tcW w:w="988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070" w14:textId="77777777" w:rsidR="009C64D3" w:rsidRDefault="00000000">
                <w:pPr>
                  <w:spacing w:line="240" w:lineRule="auto"/>
                  <w:jc w:val="center"/>
                  <w:rPr>
                    <w:rFonts w:ascii="Times New Roman" w:eastAsia="Times New Roman" w:hAnsi="Times New Roman" w:cs="Times New Roman"/>
                    <w:b/>
                    <w:bCs/>
                    <w:sz w:val="20"/>
                    <w:szCs w:val="20"/>
                  </w:rPr>
                </w:pPr>
                <w:r>
                  <w:rPr>
                    <w:b/>
                    <w:bCs/>
                    <w:sz w:val="20"/>
                    <w:szCs w:val="20"/>
                  </w:rPr>
                  <w:t>Pestañas</w:t>
                </w:r>
              </w:p>
            </w:tc>
          </w:tr>
          <w:tr w:rsidR="009C64D3" w14:paraId="1407C61F"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73" w14:textId="77777777" w:rsidR="009C64D3" w:rsidRDefault="00000000">
                <w:pPr>
                  <w:spacing w:line="240" w:lineRule="auto"/>
                  <w:jc w:val="both"/>
                  <w:rPr>
                    <w:b/>
                    <w:bCs/>
                    <w:sz w:val="20"/>
                    <w:szCs w:val="20"/>
                  </w:rPr>
                </w:pPr>
                <w:r>
                  <w:rPr>
                    <w:b/>
                    <w:bCs/>
                    <w:sz w:val="20"/>
                    <w:szCs w:val="20"/>
                  </w:rPr>
                  <w:t>Sistemas de Información Geográfica (SIG / GIS)</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74" w14:textId="77777777" w:rsidR="009C64D3" w:rsidRDefault="00000000">
                <w:pPr>
                  <w:spacing w:line="240" w:lineRule="auto"/>
                  <w:jc w:val="both"/>
                  <w:rPr>
                    <w:sz w:val="20"/>
                    <w:szCs w:val="20"/>
                  </w:rPr>
                </w:pPr>
                <w:r>
                  <w:rPr>
                    <w:sz w:val="20"/>
                    <w:szCs w:val="20"/>
                  </w:rPr>
                  <w:t>Los Sistemas de Información Geográfica (SIG) permiten organizar datos en capas temáticas, desarrollar análisis espaciales y generar representaciones cartográficas. Entre las plataformas empleadas para estas funciones se encuentran QGIS y ArcGIS.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75" w14:textId="77777777" w:rsidR="009C64D3" w:rsidRDefault="00000000">
                <w:pPr>
                  <w:spacing w:line="240" w:lineRule="auto"/>
                  <w:jc w:val="center"/>
                  <w:rPr>
                    <w:sz w:val="20"/>
                    <w:szCs w:val="20"/>
                  </w:rPr>
                </w:pPr>
                <w:r>
                  <w:rPr>
                    <w:noProof/>
                    <w:sz w:val="20"/>
                    <w:szCs w:val="20"/>
                  </w:rPr>
                  <w:drawing>
                    <wp:inline distT="114300" distB="114300" distL="114300" distR="114300" wp14:anchorId="283F43DF" wp14:editId="1E1B94BC">
                      <wp:extent cx="1704975" cy="952500"/>
                      <wp:effectExtent l="0" t="0" r="0" b="0"/>
                      <wp:docPr id="1388758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5"/>
                              <a:srcRect/>
                              <a:stretch>
                                <a:fillRect/>
                              </a:stretch>
                            </pic:blipFill>
                            <pic:spPr>
                              <a:xfrm>
                                <a:off x="0" y="0"/>
                                <a:ext cx="1704975" cy="952500"/>
                              </a:xfrm>
                              <a:prstGeom prst="rect">
                                <a:avLst/>
                              </a:prstGeom>
                              <a:ln/>
                            </pic:spPr>
                          </pic:pic>
                        </a:graphicData>
                      </a:graphic>
                    </wp:inline>
                  </w:drawing>
                </w:r>
              </w:p>
            </w:tc>
          </w:tr>
          <w:tr w:rsidR="009C64D3" w14:paraId="09485667"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76" w14:textId="77777777" w:rsidR="009C64D3" w:rsidRDefault="00000000">
                <w:pPr>
                  <w:spacing w:line="240" w:lineRule="auto"/>
                  <w:jc w:val="both"/>
                  <w:rPr>
                    <w:b/>
                    <w:bCs/>
                    <w:sz w:val="20"/>
                    <w:szCs w:val="20"/>
                  </w:rPr>
                </w:pPr>
                <w:r>
                  <w:rPr>
                    <w:b/>
                    <w:bCs/>
                    <w:sz w:val="20"/>
                    <w:szCs w:val="20"/>
                  </w:rPr>
                  <w:t>Teledetección (sensoramiento remoto)</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77" w14:textId="77777777" w:rsidR="009C64D3" w:rsidRDefault="00000000">
                <w:pPr>
                  <w:spacing w:line="240" w:lineRule="auto"/>
                  <w:jc w:val="both"/>
                  <w:rPr>
                    <w:sz w:val="20"/>
                    <w:szCs w:val="20"/>
                  </w:rPr>
                </w:pPr>
                <w:r>
                  <w:rPr>
                    <w:sz w:val="20"/>
                    <w:szCs w:val="20"/>
                  </w:rPr>
                  <w:t>La teledetección permite capturar información de la superficie terrestre a distancia mediante sensores instalados en satélites, aeronaves o drones. Entre los datos obtenidos pueden encontrarse imágenes multiespectrales e información procedente de tecnologías como LiDAR.</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78" w14:textId="77777777" w:rsidR="009C64D3" w:rsidRDefault="00000000">
                <w:pPr>
                  <w:spacing w:line="240" w:lineRule="auto"/>
                  <w:jc w:val="center"/>
                  <w:rPr>
                    <w:sz w:val="20"/>
                    <w:szCs w:val="20"/>
                  </w:rPr>
                </w:pPr>
                <w:r>
                  <w:rPr>
                    <w:noProof/>
                    <w:sz w:val="20"/>
                    <w:szCs w:val="20"/>
                  </w:rPr>
                  <w:drawing>
                    <wp:inline distT="114300" distB="114300" distL="114300" distR="114300" wp14:anchorId="2325B828" wp14:editId="7916916C">
                      <wp:extent cx="1704975" cy="952500"/>
                      <wp:effectExtent l="0" t="0" r="0" b="0"/>
                      <wp:docPr id="1388758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6"/>
                              <a:srcRect/>
                              <a:stretch>
                                <a:fillRect/>
                              </a:stretch>
                            </pic:blipFill>
                            <pic:spPr>
                              <a:xfrm>
                                <a:off x="0" y="0"/>
                                <a:ext cx="1704975" cy="952500"/>
                              </a:xfrm>
                              <a:prstGeom prst="rect">
                                <a:avLst/>
                              </a:prstGeom>
                              <a:ln/>
                            </pic:spPr>
                          </pic:pic>
                        </a:graphicData>
                      </a:graphic>
                    </wp:inline>
                  </w:drawing>
                </w:r>
              </w:p>
            </w:tc>
          </w:tr>
          <w:tr w:rsidR="009C64D3" w14:paraId="3727574E"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79" w14:textId="77777777" w:rsidR="009C64D3" w:rsidRDefault="00000000">
                <w:pPr>
                  <w:spacing w:line="240" w:lineRule="auto"/>
                  <w:jc w:val="both"/>
                  <w:rPr>
                    <w:b/>
                    <w:bCs/>
                    <w:sz w:val="20"/>
                    <w:szCs w:val="20"/>
                  </w:rPr>
                </w:pPr>
                <w:r>
                  <w:rPr>
                    <w:b/>
                    <w:bCs/>
                    <w:sz w:val="20"/>
                    <w:szCs w:val="20"/>
                  </w:rPr>
                  <w:t>Sistemas Globales de Navegación por Satélite (GNSS / GPS)</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7A" w14:textId="77777777" w:rsidR="009C64D3" w:rsidRDefault="00000000">
                <w:pPr>
                  <w:spacing w:line="240" w:lineRule="auto"/>
                  <w:jc w:val="both"/>
                  <w:rPr>
                    <w:sz w:val="20"/>
                    <w:szCs w:val="20"/>
                  </w:rPr>
                </w:pPr>
                <w:r>
                  <w:rPr>
                    <w:sz w:val="20"/>
                    <w:szCs w:val="20"/>
                  </w:rPr>
                  <w:t>Los Sistemas Globales de Navegación por Satélite (GNSS) permiten determinar coordenadas geográficas, como latitud, longitud y altitud, y facilitan el posicionamiento de elementos ubicados sobre el territorio.</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7B" w14:textId="77777777" w:rsidR="009C64D3" w:rsidRDefault="00000000">
                <w:pPr>
                  <w:spacing w:line="240" w:lineRule="auto"/>
                  <w:jc w:val="center"/>
                  <w:rPr>
                    <w:sz w:val="20"/>
                    <w:szCs w:val="20"/>
                  </w:rPr>
                </w:pPr>
                <w:r>
                  <w:rPr>
                    <w:noProof/>
                    <w:sz w:val="20"/>
                    <w:szCs w:val="20"/>
                  </w:rPr>
                  <w:drawing>
                    <wp:inline distT="114300" distB="114300" distL="114300" distR="114300" wp14:anchorId="71D5D398" wp14:editId="332355B2">
                      <wp:extent cx="1704975" cy="952500"/>
                      <wp:effectExtent l="0" t="0" r="0" b="0"/>
                      <wp:docPr id="1388758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
                              <a:srcRect/>
                              <a:stretch>
                                <a:fillRect/>
                              </a:stretch>
                            </pic:blipFill>
                            <pic:spPr>
                              <a:xfrm>
                                <a:off x="0" y="0"/>
                                <a:ext cx="1704975" cy="952500"/>
                              </a:xfrm>
                              <a:prstGeom prst="rect">
                                <a:avLst/>
                              </a:prstGeom>
                              <a:ln/>
                            </pic:spPr>
                          </pic:pic>
                        </a:graphicData>
                      </a:graphic>
                    </wp:inline>
                  </w:drawing>
                </w:r>
              </w:p>
            </w:tc>
          </w:tr>
          <w:tr w:rsidR="009C64D3" w14:paraId="7B4D136A"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7C" w14:textId="77777777" w:rsidR="009C64D3" w:rsidRDefault="00000000">
                <w:pPr>
                  <w:spacing w:line="240" w:lineRule="auto"/>
                  <w:jc w:val="both"/>
                  <w:rPr>
                    <w:b/>
                    <w:bCs/>
                    <w:i/>
                    <w:iCs/>
                    <w:sz w:val="20"/>
                    <w:szCs w:val="20"/>
                  </w:rPr>
                </w:pPr>
                <w:r>
                  <w:rPr>
                    <w:b/>
                    <w:bCs/>
                    <w:sz w:val="20"/>
                    <w:szCs w:val="20"/>
                  </w:rPr>
                  <w:t xml:space="preserve">Cartografía digital y visualización </w:t>
                </w:r>
                <w:r>
                  <w:rPr>
                    <w:b/>
                    <w:bCs/>
                    <w:i/>
                    <w:iCs/>
                    <w:sz w:val="20"/>
                    <w:szCs w:val="20"/>
                  </w:rPr>
                  <w:t>web (web mapping)</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7D" w14:textId="77777777" w:rsidR="009C64D3" w:rsidRDefault="00000000">
                <w:pPr>
                  <w:spacing w:line="240" w:lineRule="auto"/>
                  <w:jc w:val="both"/>
                  <w:rPr>
                    <w:sz w:val="20"/>
                    <w:szCs w:val="20"/>
                  </w:rPr>
                </w:pPr>
                <w:r>
                  <w:rPr>
                    <w:sz w:val="20"/>
                    <w:szCs w:val="20"/>
                  </w:rPr>
                  <w:t>La cartografía digital comprende plataformas y servicios que permiten representar y consultar datos espaciales mediante entornos web o aplicaciones móviles, como mapas digitales y visores territoriales institucionales.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7E" w14:textId="77777777" w:rsidR="009C64D3" w:rsidRDefault="00000000">
                <w:pPr>
                  <w:spacing w:line="240" w:lineRule="auto"/>
                  <w:jc w:val="center"/>
                  <w:rPr>
                    <w:sz w:val="20"/>
                    <w:szCs w:val="20"/>
                  </w:rPr>
                </w:pPr>
                <w:r>
                  <w:rPr>
                    <w:noProof/>
                    <w:sz w:val="20"/>
                    <w:szCs w:val="20"/>
                  </w:rPr>
                  <w:drawing>
                    <wp:inline distT="114300" distB="114300" distL="114300" distR="114300" wp14:anchorId="6D9B61A8" wp14:editId="7CFE5B9F">
                      <wp:extent cx="1704975" cy="952500"/>
                      <wp:effectExtent l="0" t="0" r="0" b="0"/>
                      <wp:docPr id="1388758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8"/>
                              <a:srcRect/>
                              <a:stretch>
                                <a:fillRect/>
                              </a:stretch>
                            </pic:blipFill>
                            <pic:spPr>
                              <a:xfrm>
                                <a:off x="0" y="0"/>
                                <a:ext cx="1704975" cy="952500"/>
                              </a:xfrm>
                              <a:prstGeom prst="rect">
                                <a:avLst/>
                              </a:prstGeom>
                              <a:ln/>
                            </pic:spPr>
                          </pic:pic>
                        </a:graphicData>
                      </a:graphic>
                    </wp:inline>
                  </w:drawing>
                </w:r>
              </w:p>
            </w:tc>
          </w:tr>
        </w:tbl>
      </w:sdtContent>
    </w:sdt>
    <w:p w14:paraId="0000007F" w14:textId="77777777" w:rsidR="009C64D3" w:rsidRDefault="009C64D3">
      <w:pPr>
        <w:spacing w:line="240" w:lineRule="auto"/>
        <w:jc w:val="both"/>
        <w:rPr>
          <w:sz w:val="20"/>
          <w:szCs w:val="20"/>
        </w:rPr>
      </w:pPr>
    </w:p>
    <w:p w14:paraId="00000080" w14:textId="77777777" w:rsidR="009C64D3" w:rsidRDefault="00000000">
      <w:pPr>
        <w:spacing w:line="240" w:lineRule="auto"/>
        <w:jc w:val="both"/>
        <w:rPr>
          <w:sz w:val="20"/>
          <w:szCs w:val="20"/>
        </w:rPr>
      </w:pPr>
      <w:r>
        <w:rPr>
          <w:sz w:val="20"/>
          <w:szCs w:val="20"/>
        </w:rPr>
        <w:t>La integración de estas tecnologías permite gestionar diferentes tipos de información espacial y generar insumos que apoyan el conocimiento, la planificación y el análisis del territorio.</w:t>
      </w:r>
    </w:p>
    <w:p w14:paraId="00000081" w14:textId="77777777" w:rsidR="009C64D3" w:rsidRDefault="009C64D3">
      <w:pPr>
        <w:pStyle w:val="Ttulo2"/>
        <w:spacing w:after="160"/>
        <w:jc w:val="both"/>
        <w:rPr>
          <w:b/>
          <w:bCs/>
          <w:sz w:val="20"/>
          <w:szCs w:val="20"/>
        </w:rPr>
      </w:pPr>
      <w:bookmarkStart w:id="3" w:name="_heading=h.yold9iqhvz0s" w:colFirst="0" w:colLast="0"/>
      <w:bookmarkEnd w:id="3"/>
    </w:p>
    <w:p w14:paraId="00000082" w14:textId="77777777" w:rsidR="009C64D3" w:rsidRDefault="00000000">
      <w:pPr>
        <w:pStyle w:val="Ttulo2"/>
        <w:spacing w:after="160"/>
        <w:jc w:val="both"/>
        <w:rPr>
          <w:b/>
          <w:bCs/>
          <w:sz w:val="20"/>
          <w:szCs w:val="20"/>
        </w:rPr>
      </w:pPr>
      <w:bookmarkStart w:id="4" w:name="_heading=h.mon3553g9g1b" w:colFirst="0" w:colLast="0"/>
      <w:bookmarkEnd w:id="4"/>
      <w:r>
        <w:rPr>
          <w:b/>
          <w:bCs/>
          <w:sz w:val="20"/>
          <w:szCs w:val="20"/>
        </w:rPr>
        <w:t>1.3 Aplicaciones de las tecnologías geoespaciales en el ámbito agroforestal</w:t>
      </w:r>
    </w:p>
    <w:p w14:paraId="00000083" w14:textId="77777777" w:rsidR="009C64D3" w:rsidRDefault="009C64D3">
      <w:pPr>
        <w:spacing w:after="160"/>
        <w:jc w:val="both"/>
        <w:rPr>
          <w:sz w:val="20"/>
          <w:szCs w:val="20"/>
        </w:rPr>
      </w:pPr>
    </w:p>
    <w:p w14:paraId="00000084" w14:textId="77777777" w:rsidR="009C64D3" w:rsidRDefault="00000000">
      <w:pPr>
        <w:spacing w:after="160"/>
        <w:jc w:val="both"/>
        <w:rPr>
          <w:sz w:val="20"/>
          <w:szCs w:val="20"/>
        </w:rPr>
      </w:pPr>
      <w:r>
        <w:rPr>
          <w:sz w:val="20"/>
          <w:szCs w:val="20"/>
        </w:rPr>
        <w:t>Las tecnologías geoespaciales pueden aplicarse en diferentes contextos en los que se requiere localizar, representar y analizar información asociada con el territorio. Su utilización facilita el seguimiento de cambios espaciales y aporta información para procesos de planificación, gestión y toma de decisiones.</w:t>
      </w:r>
    </w:p>
    <w:p w14:paraId="00000085" w14:textId="77777777" w:rsidR="009C64D3" w:rsidRDefault="009C64D3">
      <w:pPr>
        <w:spacing w:after="160"/>
        <w:jc w:val="both"/>
        <w:rPr>
          <w:sz w:val="20"/>
          <w:szCs w:val="20"/>
        </w:rPr>
      </w:pPr>
    </w:p>
    <w:p w14:paraId="00000086" w14:textId="77777777" w:rsidR="009C64D3" w:rsidRDefault="00000000">
      <w:pPr>
        <w:spacing w:after="160"/>
        <w:jc w:val="both"/>
        <w:rPr>
          <w:sz w:val="20"/>
          <w:szCs w:val="20"/>
        </w:rPr>
      </w:pPr>
      <w:r>
        <w:rPr>
          <w:sz w:val="20"/>
          <w:szCs w:val="20"/>
        </w:rPr>
        <w:t>Los principales campos de aplicación de estas tecnologías se presentan a continuación:</w:t>
      </w:r>
    </w:p>
    <w:p w14:paraId="00000087" w14:textId="77777777" w:rsidR="009C64D3" w:rsidRDefault="009C64D3">
      <w:pPr>
        <w:spacing w:after="160"/>
        <w:jc w:val="both"/>
        <w:rPr>
          <w:sz w:val="20"/>
          <w:szCs w:val="20"/>
        </w:rPr>
      </w:pPr>
    </w:p>
    <w:p w14:paraId="43E43E5C" w14:textId="77777777" w:rsidR="00DC122F" w:rsidRDefault="00DC122F">
      <w:pPr>
        <w:spacing w:after="160"/>
        <w:jc w:val="both"/>
        <w:rPr>
          <w:sz w:val="20"/>
          <w:szCs w:val="20"/>
        </w:rPr>
      </w:pPr>
    </w:p>
    <w:p w14:paraId="77C8D9D7" w14:textId="77777777" w:rsidR="00DC122F" w:rsidRDefault="00DC122F">
      <w:pPr>
        <w:spacing w:after="160"/>
        <w:jc w:val="both"/>
        <w:rPr>
          <w:sz w:val="20"/>
          <w:szCs w:val="20"/>
        </w:rPr>
      </w:pPr>
    </w:p>
    <w:p w14:paraId="00000088" w14:textId="77777777" w:rsidR="009C64D3" w:rsidRDefault="009C64D3">
      <w:pPr>
        <w:spacing w:line="240" w:lineRule="auto"/>
        <w:jc w:val="both"/>
        <w:rPr>
          <w:sz w:val="20"/>
          <w:szCs w:val="20"/>
        </w:rPr>
      </w:pPr>
    </w:p>
    <w:sdt>
      <w:sdtPr>
        <w:tag w:val="goog_rdk_3"/>
        <w:id w:val="-195305525"/>
        <w:lock w:val="contentLocked"/>
      </w:sdtPr>
      <w:sdtContent>
        <w:tbl>
          <w:tblPr>
            <w:tblStyle w:val="affffffa"/>
            <w:tblW w:w="988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85"/>
            <w:gridCol w:w="5400"/>
            <w:gridCol w:w="2700"/>
          </w:tblGrid>
          <w:tr w:rsidR="009C64D3" w14:paraId="56EEBFAB" w14:textId="77777777">
            <w:trPr>
              <w:trHeight w:val="285"/>
            </w:trPr>
            <w:tc>
              <w:tcPr>
                <w:tcW w:w="988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089" w14:textId="77777777" w:rsidR="009C64D3" w:rsidRDefault="00000000">
                <w:pPr>
                  <w:spacing w:line="240" w:lineRule="auto"/>
                  <w:jc w:val="center"/>
                  <w:rPr>
                    <w:rFonts w:ascii="Times New Roman" w:eastAsia="Times New Roman" w:hAnsi="Times New Roman" w:cs="Times New Roman"/>
                    <w:b/>
                    <w:bCs/>
                    <w:sz w:val="20"/>
                    <w:szCs w:val="20"/>
                  </w:rPr>
                </w:pPr>
                <w:r>
                  <w:rPr>
                    <w:b/>
                    <w:bCs/>
                    <w:sz w:val="20"/>
                    <w:szCs w:val="20"/>
                  </w:rPr>
                  <w:t>Slider</w:t>
                </w:r>
              </w:p>
            </w:tc>
          </w:tr>
          <w:tr w:rsidR="009C64D3" w14:paraId="203BEE32"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8C" w14:textId="77777777" w:rsidR="009C64D3" w:rsidRDefault="00000000">
                <w:pPr>
                  <w:spacing w:line="240" w:lineRule="auto"/>
                  <w:jc w:val="both"/>
                  <w:rPr>
                    <w:b/>
                    <w:bCs/>
                    <w:sz w:val="20"/>
                    <w:szCs w:val="20"/>
                  </w:rPr>
                </w:pPr>
                <w:r>
                  <w:rPr>
                    <w:b/>
                    <w:bCs/>
                    <w:sz w:val="20"/>
                    <w:szCs w:val="20"/>
                  </w:rPr>
                  <w:t>Gestión ambiental</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8D" w14:textId="77777777" w:rsidR="009C64D3" w:rsidRDefault="00000000">
                <w:pPr>
                  <w:spacing w:line="240" w:lineRule="auto"/>
                  <w:jc w:val="both"/>
                  <w:rPr>
                    <w:sz w:val="20"/>
                    <w:szCs w:val="20"/>
                  </w:rPr>
                </w:pPr>
                <w:r>
                  <w:rPr>
                    <w:sz w:val="20"/>
                    <w:szCs w:val="20"/>
                  </w:rPr>
                  <w:t xml:space="preserve">Permite apoyar el monitoreo de la deforestación, la pérdida de biodiversidad, los cambios en el uso del suelo y otros procesos asociados con el seguimiento ambiental y el cambio climático. </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8E" w14:textId="77777777" w:rsidR="009C64D3" w:rsidRDefault="00000000">
                <w:pPr>
                  <w:spacing w:line="240" w:lineRule="auto"/>
                  <w:jc w:val="center"/>
                  <w:rPr>
                    <w:sz w:val="20"/>
                    <w:szCs w:val="20"/>
                  </w:rPr>
                </w:pPr>
                <w:r>
                  <w:rPr>
                    <w:noProof/>
                    <w:sz w:val="20"/>
                    <w:szCs w:val="20"/>
                  </w:rPr>
                  <w:drawing>
                    <wp:inline distT="114300" distB="114300" distL="114300" distR="114300" wp14:anchorId="450DCAB0" wp14:editId="3D259961">
                      <wp:extent cx="1704975" cy="850900"/>
                      <wp:effectExtent l="0" t="0" r="0" b="0"/>
                      <wp:docPr id="1388758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9"/>
                              <a:srcRect/>
                              <a:stretch>
                                <a:fillRect/>
                              </a:stretch>
                            </pic:blipFill>
                            <pic:spPr>
                              <a:xfrm>
                                <a:off x="0" y="0"/>
                                <a:ext cx="1704975" cy="850900"/>
                              </a:xfrm>
                              <a:prstGeom prst="rect">
                                <a:avLst/>
                              </a:prstGeom>
                              <a:ln/>
                            </pic:spPr>
                          </pic:pic>
                        </a:graphicData>
                      </a:graphic>
                    </wp:inline>
                  </w:drawing>
                </w:r>
              </w:p>
            </w:tc>
          </w:tr>
          <w:tr w:rsidR="009C64D3" w14:paraId="362DBD4C"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8F" w14:textId="77777777" w:rsidR="009C64D3" w:rsidRDefault="00000000">
                <w:pPr>
                  <w:spacing w:line="240" w:lineRule="auto"/>
                  <w:jc w:val="both"/>
                  <w:rPr>
                    <w:b/>
                    <w:bCs/>
                    <w:sz w:val="20"/>
                    <w:szCs w:val="20"/>
                  </w:rPr>
                </w:pPr>
                <w:r>
                  <w:rPr>
                    <w:b/>
                    <w:bCs/>
                    <w:sz w:val="20"/>
                    <w:szCs w:val="20"/>
                  </w:rPr>
                  <w:t>Ordenamiento territorial y urbanismo</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90" w14:textId="77777777" w:rsidR="009C64D3" w:rsidRDefault="00000000">
                <w:pPr>
                  <w:spacing w:line="240" w:lineRule="auto"/>
                  <w:jc w:val="both"/>
                  <w:rPr>
                    <w:sz w:val="20"/>
                    <w:szCs w:val="20"/>
                  </w:rPr>
                </w:pPr>
                <w:r>
                  <w:rPr>
                    <w:sz w:val="20"/>
                    <w:szCs w:val="20"/>
                  </w:rPr>
                  <w:t>Contribuye a procesos de planificación de infraestructura, gestión catastral y diseño de redes de transporte público mediante el uso de información espacial relacionada con la organización del territorio.</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91" w14:textId="77777777" w:rsidR="009C64D3" w:rsidRDefault="00000000">
                <w:pPr>
                  <w:spacing w:line="240" w:lineRule="auto"/>
                  <w:jc w:val="center"/>
                  <w:rPr>
                    <w:sz w:val="20"/>
                    <w:szCs w:val="20"/>
                  </w:rPr>
                </w:pPr>
                <w:r>
                  <w:rPr>
                    <w:noProof/>
                    <w:sz w:val="20"/>
                    <w:szCs w:val="20"/>
                  </w:rPr>
                  <w:drawing>
                    <wp:inline distT="114300" distB="114300" distL="114300" distR="114300" wp14:anchorId="6679F71A" wp14:editId="70098A9E">
                      <wp:extent cx="1704975" cy="927100"/>
                      <wp:effectExtent l="0" t="0" r="0" b="0"/>
                      <wp:docPr id="1388758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0"/>
                              <a:srcRect/>
                              <a:stretch>
                                <a:fillRect/>
                              </a:stretch>
                            </pic:blipFill>
                            <pic:spPr>
                              <a:xfrm>
                                <a:off x="0" y="0"/>
                                <a:ext cx="1704975" cy="927100"/>
                              </a:xfrm>
                              <a:prstGeom prst="rect">
                                <a:avLst/>
                              </a:prstGeom>
                              <a:ln/>
                            </pic:spPr>
                          </pic:pic>
                        </a:graphicData>
                      </a:graphic>
                    </wp:inline>
                  </w:drawing>
                </w:r>
              </w:p>
            </w:tc>
          </w:tr>
          <w:tr w:rsidR="009C64D3" w14:paraId="13C3CAE1"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92" w14:textId="77777777" w:rsidR="009C64D3" w:rsidRDefault="00000000">
                <w:pPr>
                  <w:spacing w:line="240" w:lineRule="auto"/>
                  <w:jc w:val="both"/>
                  <w:rPr>
                    <w:b/>
                    <w:bCs/>
                    <w:sz w:val="20"/>
                    <w:szCs w:val="20"/>
                  </w:rPr>
                </w:pPr>
                <w:r>
                  <w:rPr>
                    <w:b/>
                    <w:bCs/>
                    <w:sz w:val="20"/>
                    <w:szCs w:val="20"/>
                  </w:rPr>
                  <w:t>Prevención y gestión de riesgos</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93" w14:textId="77777777" w:rsidR="009C64D3" w:rsidRDefault="00000000">
                <w:pPr>
                  <w:spacing w:line="240" w:lineRule="auto"/>
                  <w:jc w:val="both"/>
                  <w:rPr>
                    <w:sz w:val="20"/>
                    <w:szCs w:val="20"/>
                  </w:rPr>
                </w:pPr>
                <w:r>
                  <w:rPr>
                    <w:sz w:val="20"/>
                    <w:szCs w:val="20"/>
                  </w:rPr>
                  <w:t>Facilita la identificación y representación de zonas vulnerables a fenómenos como inundaciones, incendios forestales o deslizamientos, como apoyo a los procesos de prevención y respuesta ante emergencias.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94" w14:textId="77777777" w:rsidR="009C64D3" w:rsidRDefault="00000000">
                <w:pPr>
                  <w:spacing w:line="240" w:lineRule="auto"/>
                  <w:jc w:val="center"/>
                  <w:rPr>
                    <w:sz w:val="20"/>
                    <w:szCs w:val="20"/>
                  </w:rPr>
                </w:pPr>
                <w:r>
                  <w:rPr>
                    <w:noProof/>
                    <w:sz w:val="20"/>
                    <w:szCs w:val="20"/>
                  </w:rPr>
                  <w:drawing>
                    <wp:inline distT="114300" distB="114300" distL="114300" distR="114300" wp14:anchorId="3917B800" wp14:editId="5DFAA15A">
                      <wp:extent cx="1704975" cy="952500"/>
                      <wp:effectExtent l="0" t="0" r="0" b="0"/>
                      <wp:docPr id="13887584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1"/>
                              <a:srcRect/>
                              <a:stretch>
                                <a:fillRect/>
                              </a:stretch>
                            </pic:blipFill>
                            <pic:spPr>
                              <a:xfrm>
                                <a:off x="0" y="0"/>
                                <a:ext cx="1704975" cy="952500"/>
                              </a:xfrm>
                              <a:prstGeom prst="rect">
                                <a:avLst/>
                              </a:prstGeom>
                              <a:ln/>
                            </pic:spPr>
                          </pic:pic>
                        </a:graphicData>
                      </a:graphic>
                    </wp:inline>
                  </w:drawing>
                </w:r>
              </w:p>
            </w:tc>
          </w:tr>
          <w:tr w:rsidR="009C64D3" w14:paraId="594ACB0A"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95" w14:textId="77777777" w:rsidR="009C64D3" w:rsidRDefault="00000000">
                <w:pPr>
                  <w:spacing w:line="240" w:lineRule="auto"/>
                  <w:jc w:val="both"/>
                  <w:rPr>
                    <w:b/>
                    <w:bCs/>
                    <w:sz w:val="20"/>
                    <w:szCs w:val="20"/>
                  </w:rPr>
                </w:pPr>
                <w:r>
                  <w:rPr>
                    <w:b/>
                    <w:bCs/>
                    <w:sz w:val="20"/>
                    <w:szCs w:val="20"/>
                  </w:rPr>
                  <w:t>Agricultura de precisión</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96" w14:textId="77777777" w:rsidR="009C64D3" w:rsidRDefault="00000000">
                <w:pPr>
                  <w:spacing w:line="240" w:lineRule="auto"/>
                  <w:jc w:val="both"/>
                  <w:rPr>
                    <w:sz w:val="20"/>
                    <w:szCs w:val="20"/>
                  </w:rPr>
                </w:pPr>
                <w:r>
                  <w:rPr>
                    <w:sz w:val="20"/>
                    <w:szCs w:val="20"/>
                  </w:rPr>
                  <w:t>Permite apoyar la gestión de insumos, el análisis del estado de los cultivos y el manejo eficiente del agua mediante información asociada con las condiciones espaciales de las áreas productivas.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97" w14:textId="77777777" w:rsidR="009C64D3" w:rsidRDefault="00000000">
                <w:pPr>
                  <w:spacing w:line="240" w:lineRule="auto"/>
                  <w:jc w:val="center"/>
                  <w:rPr>
                    <w:sz w:val="20"/>
                    <w:szCs w:val="20"/>
                  </w:rPr>
                </w:pPr>
                <w:r>
                  <w:rPr>
                    <w:noProof/>
                    <w:sz w:val="20"/>
                    <w:szCs w:val="20"/>
                  </w:rPr>
                  <w:drawing>
                    <wp:inline distT="114300" distB="114300" distL="114300" distR="114300" wp14:anchorId="730CF33A" wp14:editId="52DBE9BC">
                      <wp:extent cx="1704975" cy="1143000"/>
                      <wp:effectExtent l="0" t="0" r="0" b="0"/>
                      <wp:docPr id="1388758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2"/>
                              <a:srcRect/>
                              <a:stretch>
                                <a:fillRect/>
                              </a:stretch>
                            </pic:blipFill>
                            <pic:spPr>
                              <a:xfrm>
                                <a:off x="0" y="0"/>
                                <a:ext cx="1704975" cy="1143000"/>
                              </a:xfrm>
                              <a:prstGeom prst="rect">
                                <a:avLst/>
                              </a:prstGeom>
                              <a:ln/>
                            </pic:spPr>
                          </pic:pic>
                        </a:graphicData>
                      </a:graphic>
                    </wp:inline>
                  </w:drawing>
                </w:r>
              </w:p>
            </w:tc>
          </w:tr>
        </w:tbl>
      </w:sdtContent>
    </w:sdt>
    <w:p w14:paraId="00000098" w14:textId="77777777" w:rsidR="009C64D3" w:rsidRDefault="009C64D3">
      <w:pPr>
        <w:spacing w:line="240" w:lineRule="auto"/>
        <w:jc w:val="both"/>
        <w:rPr>
          <w:sz w:val="20"/>
          <w:szCs w:val="20"/>
        </w:rPr>
      </w:pPr>
    </w:p>
    <w:p w14:paraId="00000099" w14:textId="77777777" w:rsidR="009C64D3" w:rsidRDefault="00000000">
      <w:pPr>
        <w:spacing w:after="160"/>
        <w:jc w:val="both"/>
        <w:rPr>
          <w:sz w:val="20"/>
          <w:szCs w:val="20"/>
        </w:rPr>
      </w:pPr>
      <w:r>
        <w:rPr>
          <w:sz w:val="20"/>
          <w:szCs w:val="20"/>
        </w:rPr>
        <w:t>Estos campos evidencian la diversidad de usos de las tecnologías geoespaciales y establecen una base para comprender posteriormente los procesos de captura, procesamiento y análisis de información geoespacial.</w:t>
      </w:r>
    </w:p>
    <w:p w14:paraId="0000009A" w14:textId="77777777" w:rsidR="009C64D3" w:rsidRDefault="009C64D3">
      <w:pPr>
        <w:spacing w:after="160"/>
        <w:jc w:val="both"/>
        <w:rPr>
          <w:sz w:val="20"/>
          <w:szCs w:val="20"/>
        </w:rPr>
      </w:pPr>
    </w:p>
    <w:p w14:paraId="0000009B" w14:textId="77777777" w:rsidR="009C64D3" w:rsidRDefault="00000000">
      <w:pPr>
        <w:pStyle w:val="Ttulo1"/>
        <w:spacing w:after="160"/>
        <w:jc w:val="both"/>
        <w:rPr>
          <w:b/>
          <w:bCs/>
          <w:sz w:val="20"/>
          <w:szCs w:val="20"/>
        </w:rPr>
      </w:pPr>
      <w:bookmarkStart w:id="5" w:name="_heading=h.7fb7yahhr8q1" w:colFirst="0" w:colLast="0"/>
      <w:bookmarkEnd w:id="5"/>
      <w:r>
        <w:rPr>
          <w:b/>
          <w:bCs/>
          <w:sz w:val="20"/>
          <w:szCs w:val="20"/>
        </w:rPr>
        <w:t>2. Captura y procesamiento de información geoespacial</w:t>
      </w:r>
    </w:p>
    <w:p w14:paraId="0000009C" w14:textId="77777777" w:rsidR="009C64D3" w:rsidRDefault="009C64D3">
      <w:pPr>
        <w:spacing w:after="160"/>
        <w:jc w:val="both"/>
        <w:rPr>
          <w:sz w:val="20"/>
          <w:szCs w:val="20"/>
        </w:rPr>
      </w:pPr>
    </w:p>
    <w:p w14:paraId="0000009D" w14:textId="77777777" w:rsidR="009C64D3" w:rsidRDefault="009C64D3">
      <w:pPr>
        <w:spacing w:line="240" w:lineRule="auto"/>
        <w:jc w:val="both"/>
        <w:rPr>
          <w:b/>
          <w:bCs/>
          <w:sz w:val="20"/>
          <w:szCs w:val="20"/>
        </w:rPr>
      </w:pPr>
    </w:p>
    <w:tbl>
      <w:tblPr>
        <w:tblStyle w:val="affffffb"/>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5"/>
        <w:gridCol w:w="4110"/>
      </w:tblGrid>
      <w:tr w:rsidR="009C64D3" w14:paraId="255C2C68" w14:textId="77777777">
        <w:tc>
          <w:tcPr>
            <w:tcW w:w="5805" w:type="dxa"/>
            <w:shd w:val="clear" w:color="auto" w:fill="E2EFD9"/>
          </w:tcPr>
          <w:p w14:paraId="0000009E" w14:textId="77777777" w:rsidR="009C64D3" w:rsidRDefault="00000000">
            <w:pPr>
              <w:spacing w:after="160" w:line="276" w:lineRule="auto"/>
              <w:jc w:val="both"/>
              <w:rPr>
                <w:sz w:val="20"/>
                <w:szCs w:val="20"/>
              </w:rPr>
            </w:pPr>
            <w:r>
              <w:rPr>
                <w:sz w:val="20"/>
                <w:szCs w:val="20"/>
              </w:rPr>
              <w:t>La obtención de datos geográficos para la gestión agroforestal se realiza mediante diferentes tecnologías de captura, entre las que se destacan la teledetección satelital y la fotogrametría aérea con vehículos aéreos no tripulados (VANT o drones). Estas fuentes proporcionan información con distintos niveles de resolución espacial, temporal y espectral, cuya selección depende del propósito del monitoreo (Lillesand et al., 2015).</w:t>
            </w:r>
          </w:p>
        </w:tc>
        <w:tc>
          <w:tcPr>
            <w:tcW w:w="4110" w:type="dxa"/>
            <w:shd w:val="clear" w:color="auto" w:fill="E2EFD9"/>
          </w:tcPr>
          <w:p w14:paraId="0000009F" w14:textId="77777777" w:rsidR="009C64D3" w:rsidRDefault="00000000">
            <w:pPr>
              <w:jc w:val="center"/>
              <w:rPr>
                <w:b/>
                <w:bCs/>
                <w:sz w:val="20"/>
                <w:szCs w:val="20"/>
              </w:rPr>
            </w:pPr>
            <w:r>
              <w:rPr>
                <w:b/>
                <w:bCs/>
                <w:noProof/>
                <w:sz w:val="20"/>
                <w:szCs w:val="20"/>
              </w:rPr>
              <w:drawing>
                <wp:inline distT="114300" distB="114300" distL="114300" distR="114300" wp14:anchorId="59A2C044" wp14:editId="53B6CAEA">
                  <wp:extent cx="2476500" cy="1346200"/>
                  <wp:effectExtent l="0" t="0" r="0" b="0"/>
                  <wp:docPr id="1388758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3"/>
                          <a:srcRect/>
                          <a:stretch>
                            <a:fillRect/>
                          </a:stretch>
                        </pic:blipFill>
                        <pic:spPr>
                          <a:xfrm>
                            <a:off x="0" y="0"/>
                            <a:ext cx="2476500" cy="1346200"/>
                          </a:xfrm>
                          <a:prstGeom prst="rect">
                            <a:avLst/>
                          </a:prstGeom>
                          <a:ln/>
                        </pic:spPr>
                      </pic:pic>
                    </a:graphicData>
                  </a:graphic>
                </wp:inline>
              </w:drawing>
            </w:r>
          </w:p>
        </w:tc>
      </w:tr>
    </w:tbl>
    <w:p w14:paraId="000000A0" w14:textId="77777777" w:rsidR="009C64D3" w:rsidRDefault="009C64D3">
      <w:pPr>
        <w:spacing w:after="160"/>
        <w:jc w:val="both"/>
        <w:rPr>
          <w:sz w:val="20"/>
          <w:szCs w:val="20"/>
        </w:rPr>
      </w:pPr>
    </w:p>
    <w:p w14:paraId="000000A1" w14:textId="77777777" w:rsidR="009C64D3" w:rsidRDefault="00000000">
      <w:pPr>
        <w:spacing w:after="160"/>
        <w:jc w:val="both"/>
        <w:rPr>
          <w:sz w:val="20"/>
          <w:szCs w:val="20"/>
        </w:rPr>
      </w:pPr>
      <w:r>
        <w:rPr>
          <w:sz w:val="20"/>
          <w:szCs w:val="20"/>
        </w:rPr>
        <w:t xml:space="preserve">Los satélites de observación terrestre, como Sentinel-2 de la Agencia Espacial Europea y Landsat-9 de la NASA, permiten realizar seguimientos periódicos sobre superficies extensas. Por su parte, los VANT pueden operar a baja altura para generar ortofotomapas de alta resolución, útiles en actividades como el conteo de copas de árboles y la identificación de condiciones específicas en el territorio. </w:t>
      </w:r>
    </w:p>
    <w:p w14:paraId="000000A2" w14:textId="77777777" w:rsidR="009C64D3" w:rsidRDefault="009C64D3">
      <w:pPr>
        <w:spacing w:after="160"/>
        <w:jc w:val="both"/>
        <w:rPr>
          <w:sz w:val="20"/>
          <w:szCs w:val="20"/>
        </w:rPr>
      </w:pPr>
    </w:p>
    <w:p w14:paraId="000000A3" w14:textId="77777777" w:rsidR="009C64D3" w:rsidRDefault="00000000">
      <w:pPr>
        <w:spacing w:after="160"/>
        <w:jc w:val="both"/>
        <w:rPr>
          <w:sz w:val="20"/>
          <w:szCs w:val="20"/>
        </w:rPr>
      </w:pPr>
      <w:r>
        <w:rPr>
          <w:sz w:val="20"/>
          <w:szCs w:val="20"/>
        </w:rPr>
        <w:t>Las principales características de las plataformas consideradas para la captura de información geoespacial se presentan a continuación:</w:t>
      </w:r>
    </w:p>
    <w:p w14:paraId="000000A4" w14:textId="77777777" w:rsidR="009C64D3" w:rsidRDefault="009C64D3">
      <w:pPr>
        <w:spacing w:after="160"/>
        <w:jc w:val="both"/>
        <w:rPr>
          <w:sz w:val="20"/>
          <w:szCs w:val="20"/>
        </w:rPr>
      </w:pPr>
    </w:p>
    <w:p w14:paraId="000000A5" w14:textId="77777777" w:rsidR="009C64D3" w:rsidRDefault="00000000">
      <w:pPr>
        <w:spacing w:after="160"/>
        <w:jc w:val="both"/>
        <w:rPr>
          <w:b/>
          <w:bCs/>
          <w:sz w:val="20"/>
          <w:szCs w:val="20"/>
        </w:rPr>
      </w:pPr>
      <w:r>
        <w:rPr>
          <w:b/>
          <w:bCs/>
          <w:sz w:val="20"/>
          <w:szCs w:val="20"/>
        </w:rPr>
        <w:t>Tabla 1.</w:t>
      </w:r>
      <w:r>
        <w:rPr>
          <w:sz w:val="20"/>
          <w:szCs w:val="20"/>
        </w:rPr>
        <w:t xml:space="preserve"> Plataformas para la captura de información geoespacial</w:t>
      </w:r>
    </w:p>
    <w:tbl>
      <w:tblPr>
        <w:tblStyle w:val="affffffc"/>
        <w:tblW w:w="95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2375"/>
        <w:gridCol w:w="1670"/>
        <w:gridCol w:w="3455"/>
      </w:tblGrid>
      <w:tr w:rsidR="009C64D3" w14:paraId="5C20493A" w14:textId="77777777">
        <w:trPr>
          <w:trHeight w:val="586"/>
          <w:tblHeader/>
        </w:trPr>
        <w:tc>
          <w:tcPr>
            <w:tcW w:w="206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000000A6" w14:textId="77777777" w:rsidR="009C64D3" w:rsidRDefault="00000000">
            <w:pPr>
              <w:spacing w:after="160" w:line="240" w:lineRule="auto"/>
              <w:jc w:val="center"/>
              <w:rPr>
                <w:b/>
                <w:bCs/>
                <w:sz w:val="20"/>
                <w:szCs w:val="20"/>
              </w:rPr>
            </w:pPr>
            <w:r>
              <w:rPr>
                <w:b/>
                <w:bCs/>
                <w:sz w:val="20"/>
                <w:szCs w:val="20"/>
              </w:rPr>
              <w:t>Tecnología / plataforma</w:t>
            </w:r>
          </w:p>
        </w:tc>
        <w:tc>
          <w:tcPr>
            <w:tcW w:w="2375"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000000A7" w14:textId="77777777" w:rsidR="009C64D3" w:rsidRDefault="00000000">
            <w:pPr>
              <w:spacing w:after="160" w:line="240" w:lineRule="auto"/>
              <w:jc w:val="center"/>
              <w:rPr>
                <w:b/>
                <w:bCs/>
                <w:sz w:val="20"/>
                <w:szCs w:val="20"/>
              </w:rPr>
            </w:pPr>
            <w:r>
              <w:rPr>
                <w:b/>
                <w:bCs/>
                <w:sz w:val="20"/>
                <w:szCs w:val="20"/>
              </w:rPr>
              <w:t>Resolución espacial</w:t>
            </w:r>
          </w:p>
        </w:tc>
        <w:tc>
          <w:tcPr>
            <w:tcW w:w="167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000000A8" w14:textId="77777777" w:rsidR="009C64D3" w:rsidRDefault="00000000">
            <w:pPr>
              <w:spacing w:after="160" w:line="240" w:lineRule="auto"/>
              <w:jc w:val="center"/>
              <w:rPr>
                <w:b/>
                <w:bCs/>
                <w:sz w:val="20"/>
                <w:szCs w:val="20"/>
              </w:rPr>
            </w:pPr>
            <w:r>
              <w:rPr>
                <w:b/>
                <w:bCs/>
                <w:sz w:val="20"/>
                <w:szCs w:val="20"/>
              </w:rPr>
              <w:t>Frecuencia temporal</w:t>
            </w:r>
          </w:p>
        </w:tc>
        <w:tc>
          <w:tcPr>
            <w:tcW w:w="3455"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000000A9" w14:textId="77777777" w:rsidR="009C64D3" w:rsidRDefault="00000000">
            <w:pPr>
              <w:spacing w:after="160" w:line="240" w:lineRule="auto"/>
              <w:jc w:val="center"/>
              <w:rPr>
                <w:b/>
                <w:bCs/>
                <w:sz w:val="20"/>
                <w:szCs w:val="20"/>
              </w:rPr>
            </w:pPr>
            <w:r>
              <w:rPr>
                <w:b/>
                <w:bCs/>
                <w:sz w:val="20"/>
                <w:szCs w:val="20"/>
              </w:rPr>
              <w:t>Aplicación principal en agroforestería</w:t>
            </w:r>
          </w:p>
        </w:tc>
      </w:tr>
      <w:tr w:rsidR="009C64D3" w14:paraId="5DA61FCB" w14:textId="77777777">
        <w:trPr>
          <w:trHeight w:val="113"/>
        </w:trPr>
        <w:tc>
          <w:tcPr>
            <w:tcW w:w="2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AA" w14:textId="77777777" w:rsidR="009C64D3" w:rsidRDefault="00000000">
            <w:pPr>
              <w:spacing w:after="160"/>
              <w:jc w:val="both"/>
              <w:rPr>
                <w:sz w:val="20"/>
                <w:szCs w:val="20"/>
              </w:rPr>
            </w:pPr>
            <w:r>
              <w:rPr>
                <w:sz w:val="20"/>
                <w:szCs w:val="20"/>
              </w:rPr>
              <w:t>Satélite Sentinel-2</w:t>
            </w:r>
          </w:p>
        </w:tc>
        <w:tc>
          <w:tcPr>
            <w:tcW w:w="23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AB" w14:textId="77777777" w:rsidR="009C64D3" w:rsidRDefault="00000000">
            <w:pPr>
              <w:spacing w:after="160"/>
              <w:jc w:val="both"/>
              <w:rPr>
                <w:sz w:val="20"/>
                <w:szCs w:val="20"/>
              </w:rPr>
            </w:pPr>
            <w:r>
              <w:rPr>
                <w:sz w:val="20"/>
                <w:szCs w:val="20"/>
              </w:rPr>
              <w:t>10–20 metros</w:t>
            </w:r>
          </w:p>
        </w:tc>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AC" w14:textId="77777777" w:rsidR="009C64D3" w:rsidRDefault="00000000">
            <w:pPr>
              <w:spacing w:after="160"/>
              <w:jc w:val="both"/>
              <w:rPr>
                <w:sz w:val="20"/>
                <w:szCs w:val="20"/>
              </w:rPr>
            </w:pPr>
            <w:r>
              <w:rPr>
                <w:sz w:val="20"/>
                <w:szCs w:val="20"/>
              </w:rPr>
              <w:t>Cada 5 días</w:t>
            </w:r>
          </w:p>
        </w:tc>
        <w:tc>
          <w:tcPr>
            <w:tcW w:w="34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AD" w14:textId="77777777" w:rsidR="009C64D3" w:rsidRDefault="00000000">
            <w:pPr>
              <w:spacing w:after="160"/>
              <w:jc w:val="both"/>
              <w:rPr>
                <w:sz w:val="20"/>
                <w:szCs w:val="20"/>
              </w:rPr>
            </w:pPr>
            <w:r>
              <w:rPr>
                <w:sz w:val="20"/>
                <w:szCs w:val="20"/>
              </w:rPr>
              <w:t>Monitoreo regional de cobertura forestal e índices de clorofila.</w:t>
            </w:r>
          </w:p>
        </w:tc>
      </w:tr>
      <w:tr w:rsidR="009C64D3" w14:paraId="491E93E6" w14:textId="77777777">
        <w:trPr>
          <w:trHeight w:val="113"/>
        </w:trPr>
        <w:tc>
          <w:tcPr>
            <w:tcW w:w="2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AE" w14:textId="77777777" w:rsidR="009C64D3" w:rsidRDefault="00000000">
            <w:pPr>
              <w:spacing w:after="160"/>
              <w:jc w:val="both"/>
              <w:rPr>
                <w:sz w:val="20"/>
                <w:szCs w:val="20"/>
              </w:rPr>
            </w:pPr>
            <w:r>
              <w:rPr>
                <w:sz w:val="20"/>
                <w:szCs w:val="20"/>
              </w:rPr>
              <w:t>Satélite Landsat 8/9</w:t>
            </w:r>
          </w:p>
        </w:tc>
        <w:tc>
          <w:tcPr>
            <w:tcW w:w="23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AF" w14:textId="77777777" w:rsidR="009C64D3" w:rsidRDefault="00000000">
            <w:pPr>
              <w:spacing w:after="160"/>
              <w:jc w:val="both"/>
              <w:rPr>
                <w:sz w:val="20"/>
                <w:szCs w:val="20"/>
              </w:rPr>
            </w:pPr>
            <w:r>
              <w:rPr>
                <w:sz w:val="20"/>
                <w:szCs w:val="20"/>
              </w:rPr>
              <w:t>30 metros; 100 metros en información térmica</w:t>
            </w:r>
          </w:p>
        </w:tc>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0" w14:textId="77777777" w:rsidR="009C64D3" w:rsidRDefault="00000000">
            <w:pPr>
              <w:spacing w:after="160"/>
              <w:jc w:val="both"/>
              <w:rPr>
                <w:sz w:val="20"/>
                <w:szCs w:val="20"/>
              </w:rPr>
            </w:pPr>
            <w:r>
              <w:rPr>
                <w:sz w:val="20"/>
                <w:szCs w:val="20"/>
              </w:rPr>
              <w:t>Cada 8–16 días</w:t>
            </w:r>
          </w:p>
        </w:tc>
        <w:tc>
          <w:tcPr>
            <w:tcW w:w="34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1" w14:textId="77777777" w:rsidR="009C64D3" w:rsidRDefault="00000000">
            <w:pPr>
              <w:spacing w:after="160"/>
              <w:jc w:val="both"/>
              <w:rPr>
                <w:sz w:val="20"/>
                <w:szCs w:val="20"/>
              </w:rPr>
            </w:pPr>
            <w:r>
              <w:rPr>
                <w:sz w:val="20"/>
                <w:szCs w:val="20"/>
              </w:rPr>
              <w:t>Análisis histórico del cambio de uso del suelo y temperatura superficial.</w:t>
            </w:r>
          </w:p>
        </w:tc>
      </w:tr>
      <w:tr w:rsidR="009C64D3" w14:paraId="351CC0A3" w14:textId="77777777">
        <w:trPr>
          <w:trHeight w:val="56"/>
        </w:trPr>
        <w:tc>
          <w:tcPr>
            <w:tcW w:w="2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2" w14:textId="77777777" w:rsidR="009C64D3" w:rsidRDefault="00000000">
            <w:pPr>
              <w:spacing w:after="160"/>
              <w:jc w:val="both"/>
              <w:rPr>
                <w:sz w:val="20"/>
                <w:szCs w:val="20"/>
              </w:rPr>
            </w:pPr>
            <w:r>
              <w:rPr>
                <w:sz w:val="20"/>
                <w:szCs w:val="20"/>
              </w:rPr>
              <w:t>VANT / dron con cámara RGB</w:t>
            </w:r>
          </w:p>
        </w:tc>
        <w:tc>
          <w:tcPr>
            <w:tcW w:w="23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3" w14:textId="77777777" w:rsidR="009C64D3" w:rsidRDefault="00000000">
            <w:pPr>
              <w:spacing w:after="160"/>
              <w:jc w:val="both"/>
              <w:rPr>
                <w:sz w:val="20"/>
                <w:szCs w:val="20"/>
              </w:rPr>
            </w:pPr>
            <w:r>
              <w:rPr>
                <w:sz w:val="20"/>
                <w:szCs w:val="20"/>
              </w:rPr>
              <w:t>1–5 centímetros</w:t>
            </w:r>
          </w:p>
        </w:tc>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4" w14:textId="77777777" w:rsidR="009C64D3" w:rsidRDefault="00000000">
            <w:pPr>
              <w:spacing w:after="160"/>
              <w:jc w:val="both"/>
              <w:rPr>
                <w:sz w:val="20"/>
                <w:szCs w:val="20"/>
              </w:rPr>
            </w:pPr>
            <w:r>
              <w:rPr>
                <w:sz w:val="20"/>
                <w:szCs w:val="20"/>
              </w:rPr>
              <w:t>A solicitud del usuario</w:t>
            </w:r>
          </w:p>
        </w:tc>
        <w:tc>
          <w:tcPr>
            <w:tcW w:w="34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5" w14:textId="77777777" w:rsidR="009C64D3" w:rsidRDefault="00000000">
            <w:pPr>
              <w:spacing w:after="160"/>
              <w:jc w:val="both"/>
              <w:rPr>
                <w:sz w:val="20"/>
                <w:szCs w:val="20"/>
              </w:rPr>
            </w:pPr>
            <w:r>
              <w:rPr>
                <w:sz w:val="20"/>
                <w:szCs w:val="20"/>
              </w:rPr>
              <w:t>Delimitación de predios, inventario forestal y modelos digitales de elevación.</w:t>
            </w:r>
          </w:p>
        </w:tc>
      </w:tr>
      <w:tr w:rsidR="009C64D3" w14:paraId="2B16FE24" w14:textId="77777777">
        <w:trPr>
          <w:trHeight w:val="113"/>
        </w:trPr>
        <w:tc>
          <w:tcPr>
            <w:tcW w:w="2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6" w14:textId="77777777" w:rsidR="009C64D3" w:rsidRDefault="00000000">
            <w:pPr>
              <w:spacing w:after="160"/>
              <w:jc w:val="both"/>
              <w:rPr>
                <w:sz w:val="20"/>
                <w:szCs w:val="20"/>
              </w:rPr>
            </w:pPr>
            <w:r>
              <w:rPr>
                <w:sz w:val="20"/>
                <w:szCs w:val="20"/>
              </w:rPr>
              <w:t>VANT / dron multiespectral</w:t>
            </w:r>
          </w:p>
        </w:tc>
        <w:tc>
          <w:tcPr>
            <w:tcW w:w="23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7" w14:textId="77777777" w:rsidR="009C64D3" w:rsidRDefault="00000000">
            <w:pPr>
              <w:spacing w:after="160"/>
              <w:jc w:val="both"/>
              <w:rPr>
                <w:sz w:val="20"/>
                <w:szCs w:val="20"/>
              </w:rPr>
            </w:pPr>
            <w:r>
              <w:rPr>
                <w:sz w:val="20"/>
                <w:szCs w:val="20"/>
              </w:rPr>
              <w:t>2–8 centímetros</w:t>
            </w:r>
          </w:p>
        </w:tc>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8" w14:textId="77777777" w:rsidR="009C64D3" w:rsidRDefault="00000000">
            <w:pPr>
              <w:spacing w:after="160"/>
              <w:jc w:val="both"/>
              <w:rPr>
                <w:sz w:val="20"/>
                <w:szCs w:val="20"/>
              </w:rPr>
            </w:pPr>
            <w:r>
              <w:rPr>
                <w:sz w:val="20"/>
                <w:szCs w:val="20"/>
              </w:rPr>
              <w:t>A solicitud del usuario</w:t>
            </w:r>
          </w:p>
        </w:tc>
        <w:tc>
          <w:tcPr>
            <w:tcW w:w="34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B9" w14:textId="77777777" w:rsidR="009C64D3" w:rsidRDefault="00000000">
            <w:pPr>
              <w:spacing w:after="160"/>
              <w:jc w:val="both"/>
              <w:rPr>
                <w:sz w:val="20"/>
                <w:szCs w:val="20"/>
              </w:rPr>
            </w:pPr>
            <w:r>
              <w:rPr>
                <w:sz w:val="20"/>
                <w:szCs w:val="20"/>
              </w:rPr>
              <w:t>Detección temprana de estrés hídrico y nutricional en parcelas específicas.</w:t>
            </w:r>
          </w:p>
        </w:tc>
      </w:tr>
    </w:tbl>
    <w:p w14:paraId="000000BA" w14:textId="77777777" w:rsidR="009C64D3" w:rsidRDefault="009C64D3">
      <w:pPr>
        <w:spacing w:after="160"/>
        <w:jc w:val="both"/>
        <w:rPr>
          <w:b/>
          <w:bCs/>
          <w:sz w:val="20"/>
          <w:szCs w:val="20"/>
        </w:rPr>
      </w:pPr>
    </w:p>
    <w:p w14:paraId="000000BB" w14:textId="77777777" w:rsidR="009C64D3" w:rsidRDefault="00000000">
      <w:pPr>
        <w:pStyle w:val="Ttulo2"/>
        <w:spacing w:after="160"/>
        <w:jc w:val="both"/>
        <w:rPr>
          <w:b/>
          <w:bCs/>
          <w:sz w:val="20"/>
          <w:szCs w:val="20"/>
        </w:rPr>
      </w:pPr>
      <w:bookmarkStart w:id="6" w:name="_heading=h.xjclbhgm65fx" w:colFirst="0" w:colLast="0"/>
      <w:bookmarkEnd w:id="6"/>
      <w:r>
        <w:rPr>
          <w:b/>
          <w:bCs/>
          <w:sz w:val="20"/>
          <w:szCs w:val="20"/>
        </w:rPr>
        <w:t>2.1. Captura y procesamiento de información geoespacial</w:t>
      </w:r>
    </w:p>
    <w:p w14:paraId="000000BC" w14:textId="77777777" w:rsidR="009C64D3" w:rsidRDefault="009C64D3">
      <w:pPr>
        <w:spacing w:after="160"/>
        <w:jc w:val="both"/>
        <w:rPr>
          <w:sz w:val="20"/>
          <w:szCs w:val="20"/>
        </w:rPr>
      </w:pPr>
    </w:p>
    <w:p w14:paraId="000000BD" w14:textId="77777777" w:rsidR="009C64D3" w:rsidRDefault="00000000">
      <w:pPr>
        <w:spacing w:after="160"/>
        <w:jc w:val="both"/>
        <w:rPr>
          <w:sz w:val="20"/>
          <w:szCs w:val="20"/>
        </w:rPr>
      </w:pPr>
      <w:r>
        <w:rPr>
          <w:sz w:val="20"/>
          <w:szCs w:val="20"/>
        </w:rPr>
        <w:t>La captura y procesamiento de información geoespacial comprende métodos y tecnologías destinados a recolectar datos asociados con una ubicación geográfica y transformarlos en productos como mapas, modelos tridimensionales e información útil para el análisis territorial. En los sistemas agroforestales, este proceso integra fuentes aéreas, satelitales y de campo.</w:t>
      </w:r>
    </w:p>
    <w:p w14:paraId="000000BE" w14:textId="77777777" w:rsidR="009C64D3" w:rsidRDefault="009C64D3">
      <w:pPr>
        <w:spacing w:after="160"/>
        <w:jc w:val="both"/>
        <w:rPr>
          <w:sz w:val="20"/>
          <w:szCs w:val="20"/>
        </w:rPr>
      </w:pPr>
    </w:p>
    <w:p w14:paraId="000000BF" w14:textId="77777777" w:rsidR="009C64D3" w:rsidRDefault="00000000">
      <w:pPr>
        <w:spacing w:after="160"/>
        <w:jc w:val="both"/>
        <w:rPr>
          <w:sz w:val="20"/>
          <w:szCs w:val="20"/>
        </w:rPr>
      </w:pPr>
      <w:r>
        <w:rPr>
          <w:sz w:val="20"/>
          <w:szCs w:val="20"/>
        </w:rPr>
        <w:t>Las principales tecnologías empleadas para recopilar información del territorio agroforestal se relacionan a continuación:</w:t>
      </w:r>
    </w:p>
    <w:p w14:paraId="000000C5" w14:textId="77777777" w:rsidR="009C64D3" w:rsidRDefault="009C64D3">
      <w:pPr>
        <w:spacing w:line="240" w:lineRule="auto"/>
        <w:jc w:val="both"/>
        <w:rPr>
          <w:sz w:val="20"/>
          <w:szCs w:val="20"/>
        </w:rPr>
      </w:pPr>
    </w:p>
    <w:sdt>
      <w:sdtPr>
        <w:tag w:val="goog_rdk_4"/>
        <w:id w:val="1591499061"/>
        <w:lock w:val="contentLocked"/>
      </w:sdtPr>
      <w:sdtContent>
        <w:tbl>
          <w:tblPr>
            <w:tblStyle w:val="affffffd"/>
            <w:tblW w:w="988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85"/>
            <w:gridCol w:w="5400"/>
            <w:gridCol w:w="2700"/>
          </w:tblGrid>
          <w:tr w:rsidR="009C64D3" w14:paraId="2C206526" w14:textId="77777777">
            <w:trPr>
              <w:trHeight w:val="285"/>
            </w:trPr>
            <w:tc>
              <w:tcPr>
                <w:tcW w:w="988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0C6" w14:textId="77777777" w:rsidR="009C64D3" w:rsidRDefault="00000000">
                <w:pPr>
                  <w:spacing w:line="240" w:lineRule="auto"/>
                  <w:jc w:val="center"/>
                  <w:rPr>
                    <w:rFonts w:ascii="Times New Roman" w:eastAsia="Times New Roman" w:hAnsi="Times New Roman" w:cs="Times New Roman"/>
                    <w:b/>
                    <w:bCs/>
                    <w:sz w:val="20"/>
                    <w:szCs w:val="20"/>
                  </w:rPr>
                </w:pPr>
                <w:r>
                  <w:rPr>
                    <w:b/>
                    <w:bCs/>
                    <w:sz w:val="20"/>
                    <w:szCs w:val="20"/>
                  </w:rPr>
                  <w:t>Slider</w:t>
                </w:r>
              </w:p>
            </w:tc>
          </w:tr>
          <w:tr w:rsidR="009C64D3" w14:paraId="71D533E0"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C9" w14:textId="77777777" w:rsidR="009C64D3" w:rsidRDefault="00000000">
                <w:pPr>
                  <w:spacing w:line="240" w:lineRule="auto"/>
                  <w:jc w:val="both"/>
                  <w:rPr>
                    <w:b/>
                    <w:bCs/>
                    <w:sz w:val="20"/>
                    <w:szCs w:val="20"/>
                  </w:rPr>
                </w:pPr>
                <w:r>
                  <w:rPr>
                    <w:b/>
                    <w:bCs/>
                    <w:sz w:val="20"/>
                    <w:szCs w:val="20"/>
                  </w:rPr>
                  <w:t>Drones y cámaras multiespectrales e hiperespectrales</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CA" w14:textId="77777777" w:rsidR="009C64D3" w:rsidRDefault="00000000">
                <w:pPr>
                  <w:spacing w:line="240" w:lineRule="auto"/>
                  <w:jc w:val="both"/>
                  <w:rPr>
                    <w:sz w:val="20"/>
                    <w:szCs w:val="20"/>
                  </w:rPr>
                </w:pPr>
                <w:r>
                  <w:rPr>
                    <w:sz w:val="20"/>
                    <w:szCs w:val="20"/>
                  </w:rPr>
                  <w:t>Permiten captar información en diferentes bandas del espectro, incluido el infrarrojo cercano. Estos datos contribuyen al análisis de variables relacionadas con la actividad de la vegetación, el estrés hídrico y la biomasa.</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CB" w14:textId="77777777" w:rsidR="009C64D3" w:rsidRDefault="00000000">
                <w:pPr>
                  <w:spacing w:line="240" w:lineRule="auto"/>
                  <w:jc w:val="center"/>
                  <w:rPr>
                    <w:sz w:val="20"/>
                    <w:szCs w:val="20"/>
                  </w:rPr>
                </w:pPr>
                <w:r>
                  <w:rPr>
                    <w:noProof/>
                    <w:sz w:val="20"/>
                    <w:szCs w:val="20"/>
                  </w:rPr>
                  <w:drawing>
                    <wp:inline distT="114300" distB="114300" distL="114300" distR="114300" wp14:anchorId="26936786" wp14:editId="7FF74476">
                      <wp:extent cx="1704975" cy="927100"/>
                      <wp:effectExtent l="0" t="0" r="0" b="0"/>
                      <wp:docPr id="1388758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4"/>
                              <a:srcRect/>
                              <a:stretch>
                                <a:fillRect/>
                              </a:stretch>
                            </pic:blipFill>
                            <pic:spPr>
                              <a:xfrm>
                                <a:off x="0" y="0"/>
                                <a:ext cx="1704975" cy="927100"/>
                              </a:xfrm>
                              <a:prstGeom prst="rect">
                                <a:avLst/>
                              </a:prstGeom>
                              <a:ln/>
                            </pic:spPr>
                          </pic:pic>
                        </a:graphicData>
                      </a:graphic>
                    </wp:inline>
                  </w:drawing>
                </w:r>
              </w:p>
            </w:tc>
          </w:tr>
          <w:tr w:rsidR="009C64D3" w14:paraId="1B3406BF"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CC" w14:textId="77777777" w:rsidR="009C64D3" w:rsidRDefault="00000000">
                <w:pPr>
                  <w:spacing w:line="240" w:lineRule="auto"/>
                  <w:jc w:val="both"/>
                  <w:rPr>
                    <w:b/>
                    <w:bCs/>
                    <w:sz w:val="20"/>
                    <w:szCs w:val="20"/>
                  </w:rPr>
                </w:pPr>
                <w:r>
                  <w:rPr>
                    <w:b/>
                    <w:bCs/>
                    <w:sz w:val="20"/>
                    <w:szCs w:val="20"/>
                  </w:rPr>
                  <w:lastRenderedPageBreak/>
                  <w:t>Sensores LiDAR</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CD" w14:textId="77777777" w:rsidR="009C64D3" w:rsidRDefault="00000000">
                <w:pPr>
                  <w:spacing w:line="240" w:lineRule="auto"/>
                  <w:jc w:val="both"/>
                  <w:rPr>
                    <w:sz w:val="20"/>
                    <w:szCs w:val="20"/>
                  </w:rPr>
                </w:pPr>
                <w:r>
                  <w:rPr>
                    <w:sz w:val="20"/>
                    <w:szCs w:val="20"/>
                  </w:rPr>
                  <w:t xml:space="preserve">Los sensores LiDAR, instalados en plataformas aéreas o terrestres, permiten obtener información relacionada con la altura de los árboles, la estructura de las copas, la densidad del follaje y el volumen de madera en pie. </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CE" w14:textId="77777777" w:rsidR="009C64D3" w:rsidRDefault="00000000">
                <w:pPr>
                  <w:spacing w:line="240" w:lineRule="auto"/>
                  <w:jc w:val="center"/>
                  <w:rPr>
                    <w:sz w:val="20"/>
                    <w:szCs w:val="20"/>
                  </w:rPr>
                </w:pPr>
                <w:r>
                  <w:rPr>
                    <w:noProof/>
                    <w:sz w:val="20"/>
                    <w:szCs w:val="20"/>
                  </w:rPr>
                  <w:drawing>
                    <wp:inline distT="114300" distB="114300" distL="114300" distR="114300" wp14:anchorId="4C0A5954" wp14:editId="4411CC19">
                      <wp:extent cx="1704975" cy="952500"/>
                      <wp:effectExtent l="0" t="0" r="0" b="0"/>
                      <wp:docPr id="13887585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5"/>
                              <a:srcRect/>
                              <a:stretch>
                                <a:fillRect/>
                              </a:stretch>
                            </pic:blipFill>
                            <pic:spPr>
                              <a:xfrm>
                                <a:off x="0" y="0"/>
                                <a:ext cx="1704975" cy="952500"/>
                              </a:xfrm>
                              <a:prstGeom prst="rect">
                                <a:avLst/>
                              </a:prstGeom>
                              <a:ln/>
                            </pic:spPr>
                          </pic:pic>
                        </a:graphicData>
                      </a:graphic>
                    </wp:inline>
                  </w:drawing>
                </w:r>
              </w:p>
            </w:tc>
          </w:tr>
          <w:tr w:rsidR="009C64D3" w14:paraId="35F3964B"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CF" w14:textId="77777777" w:rsidR="009C64D3" w:rsidRDefault="00000000">
                <w:pPr>
                  <w:spacing w:line="240" w:lineRule="auto"/>
                  <w:jc w:val="both"/>
                  <w:rPr>
                    <w:b/>
                    <w:bCs/>
                    <w:sz w:val="20"/>
                    <w:szCs w:val="20"/>
                  </w:rPr>
                </w:pPr>
                <w:r>
                  <w:rPr>
                    <w:b/>
                    <w:bCs/>
                    <w:sz w:val="20"/>
                    <w:szCs w:val="20"/>
                  </w:rPr>
                  <w:t>Imágenes satelitales</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D0" w14:textId="77777777" w:rsidR="009C64D3" w:rsidRDefault="00000000">
                <w:pPr>
                  <w:spacing w:line="240" w:lineRule="auto"/>
                  <w:jc w:val="both"/>
                  <w:rPr>
                    <w:sz w:val="20"/>
                    <w:szCs w:val="20"/>
                  </w:rPr>
                </w:pPr>
                <w:r>
                  <w:rPr>
                    <w:sz w:val="20"/>
                    <w:szCs w:val="20"/>
                  </w:rPr>
                  <w:t>Las imágenes provenientes de plataformas como Sentinel, Planet y Landsat permiten realizar seguimiento de superficies extensas y analizar cambios estacionales, así como procesos de deforestación o reforestación.</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D1" w14:textId="77777777" w:rsidR="009C64D3" w:rsidRDefault="00000000">
                <w:pPr>
                  <w:spacing w:line="240" w:lineRule="auto"/>
                  <w:jc w:val="center"/>
                  <w:rPr>
                    <w:sz w:val="20"/>
                    <w:szCs w:val="20"/>
                  </w:rPr>
                </w:pPr>
                <w:r>
                  <w:rPr>
                    <w:noProof/>
                    <w:sz w:val="20"/>
                    <w:szCs w:val="20"/>
                  </w:rPr>
                  <w:drawing>
                    <wp:inline distT="114300" distB="114300" distL="114300" distR="114300" wp14:anchorId="79CFBA17" wp14:editId="3122EA7C">
                      <wp:extent cx="1704975" cy="952500"/>
                      <wp:effectExtent l="0" t="0" r="0" b="0"/>
                      <wp:docPr id="13887585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6"/>
                              <a:srcRect/>
                              <a:stretch>
                                <a:fillRect/>
                              </a:stretch>
                            </pic:blipFill>
                            <pic:spPr>
                              <a:xfrm>
                                <a:off x="0" y="0"/>
                                <a:ext cx="1704975" cy="952500"/>
                              </a:xfrm>
                              <a:prstGeom prst="rect">
                                <a:avLst/>
                              </a:prstGeom>
                              <a:ln/>
                            </pic:spPr>
                          </pic:pic>
                        </a:graphicData>
                      </a:graphic>
                    </wp:inline>
                  </w:drawing>
                </w:r>
              </w:p>
            </w:tc>
          </w:tr>
          <w:tr w:rsidR="009C64D3" w14:paraId="5CD98AF8"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D2" w14:textId="77777777" w:rsidR="009C64D3" w:rsidRDefault="00000000">
                <w:pPr>
                  <w:spacing w:line="240" w:lineRule="auto"/>
                  <w:jc w:val="both"/>
                  <w:rPr>
                    <w:b/>
                    <w:bCs/>
                    <w:sz w:val="20"/>
                    <w:szCs w:val="20"/>
                  </w:rPr>
                </w:pPr>
                <w:r>
                  <w:rPr>
                    <w:b/>
                    <w:bCs/>
                    <w:sz w:val="20"/>
                    <w:szCs w:val="20"/>
                  </w:rPr>
                  <w:t>GNSS/GPS de alta precisión</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D3" w14:textId="77777777" w:rsidR="009C64D3" w:rsidRDefault="00000000">
                <w:pPr>
                  <w:spacing w:line="240" w:lineRule="auto"/>
                  <w:jc w:val="both"/>
                  <w:rPr>
                    <w:sz w:val="20"/>
                    <w:szCs w:val="20"/>
                  </w:rPr>
                </w:pPr>
                <w:r>
                  <w:rPr>
                    <w:sz w:val="20"/>
                    <w:szCs w:val="20"/>
                  </w:rPr>
                  <w:t>Estas tecnologías se emplean en campo para delimitar parcelas, ubicar especies de interés forestal y georreferenciar puntos destinados al muestreo de suelo.</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D4" w14:textId="77777777" w:rsidR="009C64D3" w:rsidRDefault="00000000">
                <w:pPr>
                  <w:spacing w:line="240" w:lineRule="auto"/>
                  <w:jc w:val="center"/>
                  <w:rPr>
                    <w:sz w:val="20"/>
                    <w:szCs w:val="20"/>
                  </w:rPr>
                </w:pPr>
                <w:r>
                  <w:rPr>
                    <w:noProof/>
                    <w:sz w:val="20"/>
                    <w:szCs w:val="20"/>
                  </w:rPr>
                  <w:drawing>
                    <wp:inline distT="114300" distB="114300" distL="114300" distR="114300" wp14:anchorId="238A60B4" wp14:editId="0EACA213">
                      <wp:extent cx="1704975" cy="952500"/>
                      <wp:effectExtent l="0" t="0" r="0" b="0"/>
                      <wp:docPr id="13887585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7"/>
                              <a:srcRect/>
                              <a:stretch>
                                <a:fillRect/>
                              </a:stretch>
                            </pic:blipFill>
                            <pic:spPr>
                              <a:xfrm>
                                <a:off x="0" y="0"/>
                                <a:ext cx="1704975" cy="952500"/>
                              </a:xfrm>
                              <a:prstGeom prst="rect">
                                <a:avLst/>
                              </a:prstGeom>
                              <a:ln/>
                            </pic:spPr>
                          </pic:pic>
                        </a:graphicData>
                      </a:graphic>
                    </wp:inline>
                  </w:drawing>
                </w:r>
              </w:p>
            </w:tc>
          </w:tr>
        </w:tbl>
      </w:sdtContent>
    </w:sdt>
    <w:p w14:paraId="000000D5" w14:textId="77777777" w:rsidR="009C64D3" w:rsidRDefault="009C64D3">
      <w:pPr>
        <w:spacing w:line="240" w:lineRule="auto"/>
        <w:jc w:val="both"/>
        <w:rPr>
          <w:sz w:val="20"/>
          <w:szCs w:val="20"/>
        </w:rPr>
      </w:pPr>
    </w:p>
    <w:p w14:paraId="000000D6" w14:textId="77777777" w:rsidR="009C64D3" w:rsidRDefault="00000000">
      <w:pPr>
        <w:spacing w:after="160"/>
        <w:jc w:val="both"/>
        <w:rPr>
          <w:sz w:val="20"/>
          <w:szCs w:val="20"/>
        </w:rPr>
      </w:pPr>
      <w:r>
        <w:rPr>
          <w:sz w:val="20"/>
          <w:szCs w:val="20"/>
        </w:rPr>
        <w:t>La combinación de estas tecnologías permite obtener datos con diferentes niveles de cobertura y detalle, de acuerdo con las características del territorio y las necesidades del análisis agroforestal.</w:t>
      </w:r>
    </w:p>
    <w:p w14:paraId="000000D7" w14:textId="77777777" w:rsidR="009C64D3" w:rsidRDefault="009C64D3">
      <w:pPr>
        <w:spacing w:after="160"/>
        <w:jc w:val="both"/>
        <w:rPr>
          <w:sz w:val="20"/>
          <w:szCs w:val="20"/>
        </w:rPr>
      </w:pPr>
    </w:p>
    <w:p w14:paraId="000000D8" w14:textId="77777777" w:rsidR="009C64D3" w:rsidRDefault="00000000">
      <w:pPr>
        <w:spacing w:after="160"/>
        <w:jc w:val="both"/>
        <w:rPr>
          <w:b/>
          <w:bCs/>
          <w:sz w:val="20"/>
          <w:szCs w:val="20"/>
        </w:rPr>
      </w:pPr>
      <w:r>
        <w:rPr>
          <w:b/>
          <w:bCs/>
          <w:sz w:val="20"/>
          <w:szCs w:val="20"/>
        </w:rPr>
        <w:t>2.2 Procesamiento y análisis geoespacial en agroforestería</w:t>
      </w:r>
    </w:p>
    <w:p w14:paraId="000000D9" w14:textId="77777777" w:rsidR="009C64D3" w:rsidRDefault="009C64D3">
      <w:pPr>
        <w:spacing w:after="160"/>
        <w:jc w:val="both"/>
        <w:rPr>
          <w:sz w:val="20"/>
          <w:szCs w:val="20"/>
        </w:rPr>
      </w:pPr>
    </w:p>
    <w:p w14:paraId="000000DA" w14:textId="77777777" w:rsidR="009C64D3" w:rsidRDefault="00000000">
      <w:pPr>
        <w:spacing w:after="160"/>
        <w:jc w:val="both"/>
        <w:rPr>
          <w:sz w:val="20"/>
          <w:szCs w:val="20"/>
        </w:rPr>
      </w:pPr>
      <w:r>
        <w:rPr>
          <w:sz w:val="20"/>
          <w:szCs w:val="20"/>
        </w:rPr>
        <w:t>Una vez capturados los datos, los Sistemas de Información Geográfica (SIG) y otras herramientas de procesamiento permiten organizarlos y analizarlos para interpretar las relaciones entre los diferentes componentes de los sistemas agroforestales.</w:t>
      </w:r>
    </w:p>
    <w:p w14:paraId="000000DB" w14:textId="77777777" w:rsidR="009C64D3" w:rsidRDefault="009C64D3">
      <w:pPr>
        <w:spacing w:after="160"/>
        <w:jc w:val="both"/>
        <w:rPr>
          <w:sz w:val="20"/>
          <w:szCs w:val="20"/>
        </w:rPr>
      </w:pPr>
    </w:p>
    <w:p w14:paraId="000000DC" w14:textId="77777777" w:rsidR="009C64D3" w:rsidRDefault="00000000">
      <w:pPr>
        <w:spacing w:after="160"/>
        <w:jc w:val="both"/>
        <w:rPr>
          <w:sz w:val="20"/>
          <w:szCs w:val="20"/>
        </w:rPr>
      </w:pPr>
      <w:r>
        <w:rPr>
          <w:sz w:val="20"/>
          <w:szCs w:val="20"/>
        </w:rPr>
        <w:t>Los principales procesos asociados con el análisis de la información geoespacial se presentan a continuación:</w:t>
      </w:r>
    </w:p>
    <w:p w14:paraId="000000DD" w14:textId="77777777" w:rsidR="009C64D3" w:rsidRDefault="009C64D3">
      <w:pPr>
        <w:spacing w:after="160"/>
        <w:jc w:val="both"/>
        <w:rPr>
          <w:sz w:val="20"/>
          <w:szCs w:val="20"/>
        </w:rPr>
      </w:pPr>
    </w:p>
    <w:p w14:paraId="000000DE" w14:textId="77777777" w:rsidR="009C64D3" w:rsidRDefault="009C64D3">
      <w:pPr>
        <w:spacing w:line="240" w:lineRule="auto"/>
        <w:jc w:val="both"/>
        <w:rPr>
          <w:sz w:val="20"/>
          <w:szCs w:val="20"/>
        </w:rPr>
      </w:pPr>
    </w:p>
    <w:tbl>
      <w:tblPr>
        <w:tblStyle w:val="affffffe"/>
        <w:tblW w:w="1000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90"/>
        <w:gridCol w:w="8115"/>
      </w:tblGrid>
      <w:tr w:rsidR="009C64D3" w14:paraId="20B53020" w14:textId="77777777">
        <w:trPr>
          <w:trHeight w:val="285"/>
        </w:trPr>
        <w:tc>
          <w:tcPr>
            <w:tcW w:w="1000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0DF" w14:textId="77777777" w:rsidR="009C64D3" w:rsidRDefault="00000000">
            <w:pPr>
              <w:spacing w:line="240" w:lineRule="auto"/>
              <w:jc w:val="center"/>
              <w:rPr>
                <w:sz w:val="20"/>
                <w:szCs w:val="20"/>
              </w:rPr>
            </w:pPr>
            <w:r>
              <w:rPr>
                <w:b/>
                <w:bCs/>
                <w:sz w:val="20"/>
                <w:szCs w:val="20"/>
              </w:rPr>
              <w:t>Acordeón</w:t>
            </w:r>
            <w:r>
              <w:rPr>
                <w:sz w:val="20"/>
                <w:szCs w:val="20"/>
              </w:rPr>
              <w:t>   </w:t>
            </w:r>
          </w:p>
        </w:tc>
      </w:tr>
      <w:tr w:rsidR="009C64D3" w14:paraId="620401E8" w14:textId="77777777">
        <w:trPr>
          <w:trHeight w:val="285"/>
        </w:trPr>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000000E1" w14:textId="77777777" w:rsidR="009C64D3" w:rsidRDefault="00000000">
            <w:pPr>
              <w:spacing w:line="240" w:lineRule="auto"/>
              <w:jc w:val="both"/>
              <w:rPr>
                <w:b/>
                <w:bCs/>
                <w:sz w:val="20"/>
                <w:szCs w:val="20"/>
              </w:rPr>
            </w:pPr>
            <w:r>
              <w:rPr>
                <w:b/>
                <w:bCs/>
                <w:sz w:val="20"/>
                <w:szCs w:val="20"/>
              </w:rPr>
              <w:t>Cálculo de índices de vegetación</w:t>
            </w:r>
          </w:p>
        </w:tc>
        <w:tc>
          <w:tcPr>
            <w:tcW w:w="8115" w:type="dxa"/>
            <w:tcBorders>
              <w:top w:val="single" w:sz="6" w:space="0" w:color="000000"/>
              <w:left w:val="single" w:sz="6" w:space="0" w:color="000000"/>
              <w:bottom w:val="single" w:sz="6" w:space="0" w:color="000000"/>
              <w:right w:val="single" w:sz="6" w:space="0" w:color="000000"/>
            </w:tcBorders>
            <w:shd w:val="clear" w:color="auto" w:fill="FFFFFF"/>
          </w:tcPr>
          <w:p w14:paraId="000000E2" w14:textId="77777777" w:rsidR="009C64D3" w:rsidRDefault="00000000">
            <w:pPr>
              <w:spacing w:line="240" w:lineRule="auto"/>
              <w:jc w:val="both"/>
              <w:rPr>
                <w:sz w:val="20"/>
                <w:szCs w:val="20"/>
              </w:rPr>
            </w:pPr>
            <w:r>
              <w:rPr>
                <w:sz w:val="20"/>
                <w:szCs w:val="20"/>
              </w:rPr>
              <w:t>Los índices como NDVI, SAVI y NDRE permiten analizar características relacionadas con el vigor de la vegetación e identificar condiciones asociadas con deficiencias nutricionales o presencia de plagas.</w:t>
            </w:r>
          </w:p>
        </w:tc>
      </w:tr>
      <w:tr w:rsidR="009C64D3" w14:paraId="4ECA09A8" w14:textId="77777777">
        <w:trPr>
          <w:trHeight w:val="285"/>
        </w:trPr>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000000E3" w14:textId="77777777" w:rsidR="009C64D3" w:rsidRDefault="00000000">
            <w:pPr>
              <w:spacing w:line="240" w:lineRule="auto"/>
              <w:jc w:val="both"/>
              <w:rPr>
                <w:b/>
                <w:bCs/>
                <w:sz w:val="20"/>
                <w:szCs w:val="20"/>
              </w:rPr>
            </w:pPr>
            <w:r>
              <w:rPr>
                <w:b/>
                <w:bCs/>
                <w:sz w:val="20"/>
                <w:szCs w:val="20"/>
              </w:rPr>
              <w:t>Modelos digitales de elevación y superficie</w:t>
            </w:r>
          </w:p>
        </w:tc>
        <w:tc>
          <w:tcPr>
            <w:tcW w:w="8115" w:type="dxa"/>
            <w:tcBorders>
              <w:top w:val="single" w:sz="6" w:space="0" w:color="000000"/>
              <w:left w:val="single" w:sz="6" w:space="0" w:color="000000"/>
              <w:bottom w:val="single" w:sz="6" w:space="0" w:color="000000"/>
              <w:right w:val="single" w:sz="6" w:space="0" w:color="000000"/>
            </w:tcBorders>
            <w:shd w:val="clear" w:color="auto" w:fill="FFFFFF"/>
          </w:tcPr>
          <w:p w14:paraId="000000E4" w14:textId="77777777" w:rsidR="009C64D3" w:rsidRDefault="00000000">
            <w:pPr>
              <w:spacing w:line="240" w:lineRule="auto"/>
              <w:jc w:val="both"/>
              <w:rPr>
                <w:sz w:val="20"/>
                <w:szCs w:val="20"/>
              </w:rPr>
            </w:pPr>
            <w:r>
              <w:rPr>
                <w:sz w:val="20"/>
                <w:szCs w:val="20"/>
              </w:rPr>
              <w:t>Los modelos digitales de elevación y superficie permiten analizar el relieve del terreno para estudiar el flujo del agua, identificar zonas propensas a la erosión y apoyar la ubicación de elementos como barreras rompevientos o curvas de nivel.</w:t>
            </w:r>
          </w:p>
        </w:tc>
      </w:tr>
      <w:tr w:rsidR="009C64D3" w14:paraId="37E14CD8" w14:textId="77777777">
        <w:trPr>
          <w:trHeight w:val="285"/>
        </w:trPr>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000000E5" w14:textId="77777777" w:rsidR="009C64D3" w:rsidRDefault="00000000">
            <w:pPr>
              <w:spacing w:line="240" w:lineRule="auto"/>
              <w:jc w:val="both"/>
              <w:rPr>
                <w:b/>
                <w:bCs/>
                <w:sz w:val="20"/>
                <w:szCs w:val="20"/>
              </w:rPr>
            </w:pPr>
            <w:r>
              <w:rPr>
                <w:b/>
                <w:bCs/>
                <w:sz w:val="20"/>
                <w:szCs w:val="20"/>
              </w:rPr>
              <w:t>Estimación de biomasa y captura de carbono</w:t>
            </w:r>
          </w:p>
        </w:tc>
        <w:tc>
          <w:tcPr>
            <w:tcW w:w="8115" w:type="dxa"/>
            <w:tcBorders>
              <w:top w:val="single" w:sz="6" w:space="0" w:color="000000"/>
              <w:left w:val="single" w:sz="6" w:space="0" w:color="000000"/>
              <w:bottom w:val="single" w:sz="6" w:space="0" w:color="000000"/>
              <w:right w:val="single" w:sz="6" w:space="0" w:color="000000"/>
            </w:tcBorders>
            <w:shd w:val="clear" w:color="auto" w:fill="FFFFFF"/>
          </w:tcPr>
          <w:p w14:paraId="000000E6" w14:textId="77777777" w:rsidR="009C64D3" w:rsidRDefault="00000000">
            <w:pPr>
              <w:spacing w:line="240" w:lineRule="auto"/>
              <w:jc w:val="both"/>
              <w:rPr>
                <w:sz w:val="20"/>
                <w:szCs w:val="20"/>
              </w:rPr>
            </w:pPr>
            <w:r>
              <w:rPr>
                <w:sz w:val="20"/>
                <w:szCs w:val="20"/>
              </w:rPr>
              <w:t>La combinación de datos LiDAR y modelos alométricos permite estimar la biomasa aérea y la cantidad de carbono almacenada en los árboles que forman parte del sistema agroforestal. Esta estimación también puede apoyarse en metodologías e inventarios del Panel Intergubernamental sobre el Cambio Climático (IPCC) para el sector de Uso de la Tierra, Cambio de Uso de la Tierra y Silvicultura (UTCUTS/LULUCF) (IPCC, 2019).</w:t>
            </w:r>
          </w:p>
        </w:tc>
      </w:tr>
      <w:tr w:rsidR="009C64D3" w14:paraId="594DDA00" w14:textId="77777777">
        <w:trPr>
          <w:trHeight w:val="674"/>
        </w:trPr>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000000E7" w14:textId="77777777" w:rsidR="009C64D3" w:rsidRDefault="00000000">
            <w:pPr>
              <w:pBdr>
                <w:top w:val="nil"/>
                <w:left w:val="nil"/>
                <w:bottom w:val="nil"/>
                <w:right w:val="nil"/>
                <w:between w:val="nil"/>
              </w:pBdr>
              <w:spacing w:line="240" w:lineRule="auto"/>
              <w:jc w:val="both"/>
              <w:rPr>
                <w:b/>
                <w:bCs/>
                <w:sz w:val="20"/>
                <w:szCs w:val="20"/>
              </w:rPr>
            </w:pPr>
            <w:r>
              <w:rPr>
                <w:b/>
                <w:bCs/>
                <w:sz w:val="20"/>
                <w:szCs w:val="20"/>
              </w:rPr>
              <w:t>Análisis de sombra y microclima</w:t>
            </w:r>
          </w:p>
        </w:tc>
        <w:tc>
          <w:tcPr>
            <w:tcW w:w="8115" w:type="dxa"/>
            <w:tcBorders>
              <w:top w:val="single" w:sz="6" w:space="0" w:color="000000"/>
              <w:left w:val="single" w:sz="6" w:space="0" w:color="000000"/>
              <w:bottom w:val="single" w:sz="6" w:space="0" w:color="000000"/>
              <w:right w:val="single" w:sz="6" w:space="0" w:color="000000"/>
            </w:tcBorders>
            <w:shd w:val="clear" w:color="auto" w:fill="FFFFFF"/>
          </w:tcPr>
          <w:p w14:paraId="000000E8" w14:textId="77777777" w:rsidR="009C64D3" w:rsidRDefault="00000000">
            <w:pPr>
              <w:pBdr>
                <w:top w:val="nil"/>
                <w:left w:val="nil"/>
                <w:bottom w:val="nil"/>
                <w:right w:val="nil"/>
                <w:between w:val="nil"/>
              </w:pBdr>
              <w:spacing w:line="240" w:lineRule="auto"/>
              <w:jc w:val="both"/>
              <w:rPr>
                <w:sz w:val="20"/>
                <w:szCs w:val="20"/>
              </w:rPr>
            </w:pPr>
            <w:r>
              <w:rPr>
                <w:sz w:val="20"/>
                <w:szCs w:val="20"/>
              </w:rPr>
              <w:t>El análisis del porcentaje de cobertura del dosel permite determinar la cantidad de radiación solar que llega a los cultivos ubicados en estratos inferiores y apoyar el manejo de sistemas bajo sombra, como café o cacao.</w:t>
            </w:r>
          </w:p>
          <w:p w14:paraId="000000E9" w14:textId="77777777" w:rsidR="009C64D3" w:rsidRDefault="00000000">
            <w:pPr>
              <w:pBdr>
                <w:top w:val="nil"/>
                <w:left w:val="nil"/>
                <w:bottom w:val="nil"/>
                <w:right w:val="nil"/>
                <w:between w:val="nil"/>
              </w:pBdr>
              <w:spacing w:line="240" w:lineRule="auto"/>
              <w:jc w:val="both"/>
              <w:rPr>
                <w:sz w:val="20"/>
                <w:szCs w:val="20"/>
              </w:rPr>
            </w:pPr>
            <w:r>
              <w:rPr>
                <w:sz w:val="20"/>
                <w:szCs w:val="20"/>
              </w:rPr>
              <w:lastRenderedPageBreak/>
              <w:t>El procesamiento de los datos geoespaciales genera información que contribuye a interpretar las condiciones físicas, productivas y ambientales de los sistemas agroforestales.</w:t>
            </w:r>
          </w:p>
        </w:tc>
      </w:tr>
    </w:tbl>
    <w:p w14:paraId="000000EA" w14:textId="77777777" w:rsidR="009C64D3" w:rsidRDefault="009C64D3">
      <w:pPr>
        <w:spacing w:line="240" w:lineRule="auto"/>
        <w:jc w:val="both"/>
        <w:rPr>
          <w:sz w:val="20"/>
          <w:szCs w:val="20"/>
        </w:rPr>
      </w:pPr>
    </w:p>
    <w:p w14:paraId="000000EB" w14:textId="77777777" w:rsidR="009C64D3" w:rsidRDefault="00000000">
      <w:pPr>
        <w:spacing w:after="160"/>
        <w:jc w:val="both"/>
        <w:rPr>
          <w:sz w:val="20"/>
          <w:szCs w:val="20"/>
        </w:rPr>
      </w:pPr>
      <w:r>
        <w:rPr>
          <w:sz w:val="20"/>
          <w:szCs w:val="20"/>
        </w:rPr>
        <w:t>El procesamiento transforma los datos capturados en información que permite interpretar condiciones físicas, productivas y ambientales de los sistemas agroforestales.</w:t>
      </w:r>
    </w:p>
    <w:p w14:paraId="000000EC" w14:textId="77777777" w:rsidR="009C64D3" w:rsidRDefault="009C64D3">
      <w:pPr>
        <w:spacing w:after="160"/>
        <w:jc w:val="both"/>
        <w:rPr>
          <w:sz w:val="20"/>
          <w:szCs w:val="20"/>
        </w:rPr>
      </w:pPr>
    </w:p>
    <w:p w14:paraId="000000ED" w14:textId="77777777" w:rsidR="009C64D3" w:rsidRDefault="00000000">
      <w:pPr>
        <w:pStyle w:val="Ttulo2"/>
        <w:spacing w:after="160"/>
        <w:jc w:val="both"/>
        <w:rPr>
          <w:b/>
          <w:bCs/>
          <w:sz w:val="20"/>
          <w:szCs w:val="20"/>
        </w:rPr>
      </w:pPr>
      <w:bookmarkStart w:id="7" w:name="_heading=h.8pzf9io2pzaq" w:colFirst="0" w:colLast="0"/>
      <w:bookmarkEnd w:id="7"/>
      <w:r>
        <w:rPr>
          <w:b/>
          <w:bCs/>
          <w:sz w:val="20"/>
          <w:szCs w:val="20"/>
        </w:rPr>
        <w:t>2.3 Aplicaciones clave en agroforestería</w:t>
      </w:r>
    </w:p>
    <w:p w14:paraId="000000EE" w14:textId="77777777" w:rsidR="009C64D3" w:rsidRDefault="009C64D3">
      <w:pPr>
        <w:spacing w:after="160"/>
        <w:jc w:val="both"/>
        <w:rPr>
          <w:sz w:val="20"/>
          <w:szCs w:val="20"/>
        </w:rPr>
      </w:pPr>
    </w:p>
    <w:p w14:paraId="000000EF" w14:textId="77777777" w:rsidR="009C64D3" w:rsidRDefault="00000000">
      <w:pPr>
        <w:spacing w:after="160"/>
        <w:jc w:val="both"/>
        <w:rPr>
          <w:sz w:val="20"/>
          <w:szCs w:val="20"/>
        </w:rPr>
      </w:pPr>
      <w:r>
        <w:rPr>
          <w:sz w:val="20"/>
          <w:szCs w:val="20"/>
        </w:rPr>
        <w:t>La información geoespacial puede utilizarse en diferentes procesos asociados con la planificación, el manejo y el seguimiento de los sistemas agroforestales. Entre las principales aplicaciones planteadas en el insumo se encuentran el diseño de sistemas, la agricultura y silvicultura de precisión, el monitoreo de procesos de restauración y degradación, y la certificación ambiental.</w:t>
      </w:r>
    </w:p>
    <w:p w14:paraId="000000F0" w14:textId="77777777" w:rsidR="009C64D3" w:rsidRDefault="009C64D3">
      <w:pPr>
        <w:spacing w:after="160"/>
        <w:jc w:val="both"/>
        <w:rPr>
          <w:sz w:val="20"/>
          <w:szCs w:val="20"/>
        </w:rPr>
      </w:pPr>
    </w:p>
    <w:p w14:paraId="000000F1" w14:textId="77777777" w:rsidR="009C64D3" w:rsidRDefault="00000000">
      <w:pPr>
        <w:spacing w:after="160"/>
        <w:jc w:val="both"/>
        <w:rPr>
          <w:sz w:val="20"/>
          <w:szCs w:val="20"/>
        </w:rPr>
      </w:pPr>
      <w:r>
        <w:rPr>
          <w:sz w:val="20"/>
          <w:szCs w:val="20"/>
        </w:rPr>
        <w:t>Las principales aplicaciones de la información geoespacial en los sistemas agroforestales se presentan a continuación:</w:t>
      </w:r>
    </w:p>
    <w:p w14:paraId="000000F2" w14:textId="77777777" w:rsidR="009C64D3" w:rsidRDefault="009C64D3">
      <w:pPr>
        <w:spacing w:line="240" w:lineRule="auto"/>
        <w:jc w:val="both"/>
        <w:rPr>
          <w:sz w:val="20"/>
          <w:szCs w:val="20"/>
        </w:rPr>
      </w:pPr>
    </w:p>
    <w:sdt>
      <w:sdtPr>
        <w:tag w:val="goog_rdk_5"/>
        <w:id w:val="-738804779"/>
        <w:lock w:val="contentLocked"/>
      </w:sdtPr>
      <w:sdtContent>
        <w:tbl>
          <w:tblPr>
            <w:tblStyle w:val="afffffff"/>
            <w:tblW w:w="988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85"/>
            <w:gridCol w:w="5400"/>
            <w:gridCol w:w="2700"/>
          </w:tblGrid>
          <w:tr w:rsidR="009C64D3" w14:paraId="1AB1228B" w14:textId="77777777">
            <w:trPr>
              <w:trHeight w:val="285"/>
            </w:trPr>
            <w:tc>
              <w:tcPr>
                <w:tcW w:w="988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0F3" w14:textId="77777777" w:rsidR="009C64D3" w:rsidRDefault="00000000">
                <w:pPr>
                  <w:spacing w:line="240" w:lineRule="auto"/>
                  <w:jc w:val="center"/>
                  <w:rPr>
                    <w:rFonts w:ascii="Times New Roman" w:eastAsia="Times New Roman" w:hAnsi="Times New Roman" w:cs="Times New Roman"/>
                    <w:b/>
                    <w:bCs/>
                    <w:sz w:val="20"/>
                    <w:szCs w:val="20"/>
                  </w:rPr>
                </w:pPr>
                <w:r>
                  <w:rPr>
                    <w:b/>
                    <w:bCs/>
                    <w:sz w:val="20"/>
                    <w:szCs w:val="20"/>
                  </w:rPr>
                  <w:t>Slider</w:t>
                </w:r>
              </w:p>
            </w:tc>
          </w:tr>
          <w:tr w:rsidR="009C64D3" w14:paraId="18870198"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F6" w14:textId="77777777" w:rsidR="009C64D3" w:rsidRDefault="00000000">
                <w:pPr>
                  <w:spacing w:line="240" w:lineRule="auto"/>
                  <w:jc w:val="both"/>
                  <w:rPr>
                    <w:b/>
                    <w:bCs/>
                    <w:sz w:val="20"/>
                    <w:szCs w:val="20"/>
                  </w:rPr>
                </w:pPr>
                <w:r>
                  <w:rPr>
                    <w:b/>
                    <w:bCs/>
                    <w:sz w:val="20"/>
                    <w:szCs w:val="20"/>
                  </w:rPr>
                  <w:t>Diseño de sistemas agroforestales</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F7" w14:textId="77777777" w:rsidR="009C64D3" w:rsidRDefault="00000000">
                <w:pPr>
                  <w:spacing w:line="240" w:lineRule="auto"/>
                  <w:jc w:val="both"/>
                  <w:rPr>
                    <w:sz w:val="20"/>
                    <w:szCs w:val="20"/>
                  </w:rPr>
                </w:pPr>
                <w:r>
                  <w:rPr>
                    <w:sz w:val="20"/>
                    <w:szCs w:val="20"/>
                  </w:rPr>
                  <w:t>La información espacial facilita la ubicación de cortinas rompevientos, cercas vivas y franjas amortiguadoras destinadas a favorecer la conservación del suelo y del agua.</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F8" w14:textId="77777777" w:rsidR="009C64D3" w:rsidRDefault="00000000">
                <w:pPr>
                  <w:spacing w:line="240" w:lineRule="auto"/>
                  <w:jc w:val="center"/>
                  <w:rPr>
                    <w:sz w:val="20"/>
                    <w:szCs w:val="20"/>
                  </w:rPr>
                </w:pPr>
                <w:r>
                  <w:rPr>
                    <w:noProof/>
                    <w:sz w:val="20"/>
                    <w:szCs w:val="20"/>
                  </w:rPr>
                  <w:drawing>
                    <wp:inline distT="114300" distB="114300" distL="114300" distR="114300" wp14:anchorId="0FD26DB9" wp14:editId="16C81C3D">
                      <wp:extent cx="1704975" cy="965200"/>
                      <wp:effectExtent l="0" t="0" r="0" b="0"/>
                      <wp:docPr id="1388758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1704975" cy="965200"/>
                              </a:xfrm>
                              <a:prstGeom prst="rect">
                                <a:avLst/>
                              </a:prstGeom>
                              <a:ln/>
                            </pic:spPr>
                          </pic:pic>
                        </a:graphicData>
                      </a:graphic>
                    </wp:inline>
                  </w:drawing>
                </w:r>
              </w:p>
            </w:tc>
          </w:tr>
          <w:tr w:rsidR="009C64D3" w14:paraId="0E54E88F"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F9" w14:textId="77777777" w:rsidR="009C64D3" w:rsidRDefault="00000000">
                <w:pPr>
                  <w:spacing w:line="240" w:lineRule="auto"/>
                  <w:jc w:val="both"/>
                  <w:rPr>
                    <w:b/>
                    <w:bCs/>
                    <w:sz w:val="20"/>
                    <w:szCs w:val="20"/>
                  </w:rPr>
                </w:pPr>
                <w:r>
                  <w:rPr>
                    <w:b/>
                    <w:bCs/>
                    <w:sz w:val="20"/>
                    <w:szCs w:val="20"/>
                  </w:rPr>
                  <w:t>Agricultura y silvicultura de precisión</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FA" w14:textId="77777777" w:rsidR="009C64D3" w:rsidRDefault="00000000">
                <w:pPr>
                  <w:spacing w:line="240" w:lineRule="auto"/>
                  <w:jc w:val="both"/>
                  <w:rPr>
                    <w:sz w:val="20"/>
                    <w:szCs w:val="20"/>
                  </w:rPr>
                </w:pPr>
                <w:r>
                  <w:rPr>
                    <w:sz w:val="20"/>
                    <w:szCs w:val="20"/>
                  </w:rPr>
                  <w:t>Permite apoyar la aplicación localizada de fertilizantes y el manejo diferenciado del riego según las condiciones del suelo y los componentes vegetales presentes.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FB" w14:textId="77777777" w:rsidR="009C64D3" w:rsidRDefault="00000000">
                <w:pPr>
                  <w:spacing w:line="240" w:lineRule="auto"/>
                  <w:jc w:val="center"/>
                  <w:rPr>
                    <w:sz w:val="20"/>
                    <w:szCs w:val="20"/>
                  </w:rPr>
                </w:pPr>
                <w:r>
                  <w:rPr>
                    <w:noProof/>
                    <w:sz w:val="20"/>
                    <w:szCs w:val="20"/>
                  </w:rPr>
                  <w:drawing>
                    <wp:inline distT="114300" distB="114300" distL="114300" distR="114300" wp14:anchorId="15F01552" wp14:editId="366EB75E">
                      <wp:extent cx="1704975" cy="952500"/>
                      <wp:effectExtent l="0" t="0" r="0" b="0"/>
                      <wp:docPr id="1388758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1704975" cy="952500"/>
                              </a:xfrm>
                              <a:prstGeom prst="rect">
                                <a:avLst/>
                              </a:prstGeom>
                              <a:ln/>
                            </pic:spPr>
                          </pic:pic>
                        </a:graphicData>
                      </a:graphic>
                    </wp:inline>
                  </w:drawing>
                </w:r>
              </w:p>
            </w:tc>
          </w:tr>
          <w:tr w:rsidR="009C64D3" w14:paraId="6A6A5C3C"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FC" w14:textId="77777777" w:rsidR="009C64D3" w:rsidRDefault="00000000">
                <w:pPr>
                  <w:spacing w:line="240" w:lineRule="auto"/>
                  <w:jc w:val="both"/>
                  <w:rPr>
                    <w:b/>
                    <w:bCs/>
                    <w:sz w:val="20"/>
                    <w:szCs w:val="20"/>
                  </w:rPr>
                </w:pPr>
                <w:r>
                  <w:rPr>
                    <w:b/>
                    <w:bCs/>
                    <w:sz w:val="20"/>
                    <w:szCs w:val="20"/>
                  </w:rPr>
                  <w:t>Monitoreo de restauración y degradación</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0FD" w14:textId="77777777" w:rsidR="009C64D3" w:rsidRDefault="00000000">
                <w:pPr>
                  <w:spacing w:line="240" w:lineRule="auto"/>
                  <w:jc w:val="both"/>
                  <w:rPr>
                    <w:sz w:val="20"/>
                    <w:szCs w:val="20"/>
                  </w:rPr>
                </w:pPr>
                <w:r>
                  <w:rPr>
                    <w:sz w:val="20"/>
                    <w:szCs w:val="20"/>
                  </w:rPr>
                  <w:t>Contribuye al seguimiento de proyectos de reforestación productiva, procesos de control de la erosión y recuperación de suelos degradados.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0FE" w14:textId="77777777" w:rsidR="009C64D3" w:rsidRDefault="00000000">
                <w:pPr>
                  <w:spacing w:line="240" w:lineRule="auto"/>
                  <w:jc w:val="center"/>
                  <w:rPr>
                    <w:sz w:val="20"/>
                    <w:szCs w:val="20"/>
                  </w:rPr>
                </w:pPr>
                <w:r>
                  <w:rPr>
                    <w:noProof/>
                    <w:sz w:val="20"/>
                    <w:szCs w:val="20"/>
                  </w:rPr>
                  <w:drawing>
                    <wp:inline distT="114300" distB="114300" distL="114300" distR="114300" wp14:anchorId="507D5D0D" wp14:editId="746795A2">
                      <wp:extent cx="1704975" cy="927100"/>
                      <wp:effectExtent l="0" t="0" r="0" b="0"/>
                      <wp:docPr id="1388758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1704975" cy="927100"/>
                              </a:xfrm>
                              <a:prstGeom prst="rect">
                                <a:avLst/>
                              </a:prstGeom>
                              <a:ln/>
                            </pic:spPr>
                          </pic:pic>
                        </a:graphicData>
                      </a:graphic>
                    </wp:inline>
                  </w:drawing>
                </w:r>
              </w:p>
            </w:tc>
          </w:tr>
          <w:tr w:rsidR="009C64D3" w14:paraId="0D616309"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0FF" w14:textId="77777777" w:rsidR="009C64D3" w:rsidRDefault="00000000">
                <w:pPr>
                  <w:spacing w:line="240" w:lineRule="auto"/>
                  <w:jc w:val="both"/>
                  <w:rPr>
                    <w:b/>
                    <w:bCs/>
                    <w:sz w:val="20"/>
                    <w:szCs w:val="20"/>
                  </w:rPr>
                </w:pPr>
                <w:r>
                  <w:rPr>
                    <w:b/>
                    <w:bCs/>
                    <w:sz w:val="20"/>
                    <w:szCs w:val="20"/>
                  </w:rPr>
                  <w:t>Certificación ambiental y huella de carbono</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00" w14:textId="77777777" w:rsidR="009C64D3" w:rsidRDefault="00000000">
                <w:pPr>
                  <w:spacing w:line="240" w:lineRule="auto"/>
                  <w:jc w:val="both"/>
                  <w:rPr>
                    <w:sz w:val="20"/>
                    <w:szCs w:val="20"/>
                  </w:rPr>
                </w:pPr>
                <w:r>
                  <w:rPr>
                    <w:sz w:val="20"/>
                    <w:szCs w:val="20"/>
                  </w:rPr>
                  <w:t xml:space="preserve">La información geoespacial puede apoyar la documentación del cumplimiento de criterios de sostenibilidad y procesos relacionados con producción libre de deforestación y huella de carbono. </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01" w14:textId="77777777" w:rsidR="009C64D3" w:rsidRDefault="00000000">
                <w:pPr>
                  <w:spacing w:line="240" w:lineRule="auto"/>
                  <w:jc w:val="center"/>
                  <w:rPr>
                    <w:sz w:val="20"/>
                    <w:szCs w:val="20"/>
                  </w:rPr>
                </w:pPr>
                <w:r>
                  <w:rPr>
                    <w:noProof/>
                    <w:sz w:val="20"/>
                    <w:szCs w:val="20"/>
                  </w:rPr>
                  <w:drawing>
                    <wp:inline distT="114300" distB="114300" distL="114300" distR="114300" wp14:anchorId="44E466DB" wp14:editId="094AB4E8">
                      <wp:extent cx="1704975" cy="952500"/>
                      <wp:effectExtent l="0" t="0" r="0" b="0"/>
                      <wp:docPr id="1388758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1704975" cy="952500"/>
                              </a:xfrm>
                              <a:prstGeom prst="rect">
                                <a:avLst/>
                              </a:prstGeom>
                              <a:ln/>
                            </pic:spPr>
                          </pic:pic>
                        </a:graphicData>
                      </a:graphic>
                    </wp:inline>
                  </w:drawing>
                </w:r>
              </w:p>
            </w:tc>
          </w:tr>
        </w:tbl>
      </w:sdtContent>
    </w:sdt>
    <w:p w14:paraId="00000102" w14:textId="77777777" w:rsidR="009C64D3" w:rsidRDefault="009C64D3">
      <w:pPr>
        <w:spacing w:line="240" w:lineRule="auto"/>
        <w:jc w:val="both"/>
        <w:rPr>
          <w:sz w:val="20"/>
          <w:szCs w:val="20"/>
        </w:rPr>
      </w:pPr>
    </w:p>
    <w:p w14:paraId="00000103" w14:textId="77777777" w:rsidR="009C64D3" w:rsidRDefault="00000000">
      <w:pPr>
        <w:spacing w:after="160"/>
        <w:jc w:val="both"/>
        <w:rPr>
          <w:sz w:val="20"/>
          <w:szCs w:val="20"/>
        </w:rPr>
      </w:pPr>
      <w:r>
        <w:rPr>
          <w:sz w:val="20"/>
          <w:szCs w:val="20"/>
        </w:rPr>
        <w:t>Estas aplicaciones permiten vincular los datos geoespaciales con necesidades concretas de planificación, manejo, seguimiento y sostenibilidad de los sistemas agroforestales.</w:t>
      </w:r>
    </w:p>
    <w:p w14:paraId="00000104" w14:textId="77777777" w:rsidR="009C64D3" w:rsidRDefault="009C64D3">
      <w:pPr>
        <w:spacing w:after="160"/>
        <w:jc w:val="both"/>
        <w:rPr>
          <w:sz w:val="20"/>
          <w:szCs w:val="20"/>
        </w:rPr>
      </w:pPr>
    </w:p>
    <w:p w14:paraId="00000105" w14:textId="77777777" w:rsidR="009C64D3" w:rsidRDefault="00000000">
      <w:pPr>
        <w:spacing w:after="160"/>
        <w:jc w:val="both"/>
        <w:rPr>
          <w:sz w:val="20"/>
          <w:szCs w:val="20"/>
        </w:rPr>
      </w:pPr>
      <w:r>
        <w:rPr>
          <w:sz w:val="20"/>
          <w:szCs w:val="20"/>
        </w:rPr>
        <w:t>Se invita a reproducir el siguiente pódcast para profundizar en la aplicación de la información geoespacial en la toma de decisiones relacionadas con la planificación, el manejo y el seguimiento de sistemas agroforestales:</w:t>
      </w:r>
    </w:p>
    <w:p w14:paraId="00000106" w14:textId="77777777" w:rsidR="009C64D3" w:rsidRDefault="009C64D3">
      <w:pPr>
        <w:spacing w:line="240" w:lineRule="auto"/>
        <w:jc w:val="both"/>
        <w:rPr>
          <w:sz w:val="20"/>
          <w:szCs w:val="20"/>
        </w:rPr>
      </w:pPr>
    </w:p>
    <w:p w14:paraId="00000107" w14:textId="77777777" w:rsidR="009C64D3" w:rsidRDefault="00000000">
      <w:pPr>
        <w:pBdr>
          <w:top w:val="single" w:sz="4" w:space="1" w:color="000000"/>
          <w:left w:val="single" w:sz="4" w:space="2" w:color="000000"/>
          <w:bottom w:val="single" w:sz="4" w:space="1" w:color="000000"/>
          <w:right w:val="single" w:sz="4" w:space="4" w:color="000000"/>
        </w:pBdr>
        <w:shd w:val="clear" w:color="auto" w:fill="92CDDC"/>
        <w:spacing w:line="240" w:lineRule="auto"/>
        <w:jc w:val="center"/>
        <w:rPr>
          <w:b/>
          <w:bCs/>
          <w:sz w:val="20"/>
          <w:szCs w:val="20"/>
        </w:rPr>
      </w:pPr>
      <w:r>
        <w:rPr>
          <w:b/>
          <w:bCs/>
          <w:sz w:val="20"/>
          <w:szCs w:val="20"/>
        </w:rPr>
        <w:t>Pódcast: “Del dato geoespacial a la decisión agroforestal”</w:t>
      </w:r>
    </w:p>
    <w:p w14:paraId="00000108" w14:textId="77777777" w:rsidR="009C64D3" w:rsidRDefault="009C64D3">
      <w:pPr>
        <w:pStyle w:val="Ttulo1"/>
        <w:spacing w:before="240" w:after="0" w:line="240" w:lineRule="auto"/>
        <w:jc w:val="both"/>
        <w:rPr>
          <w:sz w:val="20"/>
          <w:szCs w:val="20"/>
        </w:rPr>
      </w:pPr>
      <w:bookmarkStart w:id="8" w:name="_heading=h.v0cx2mmeievl" w:colFirst="0" w:colLast="0"/>
      <w:bookmarkEnd w:id="8"/>
    </w:p>
    <w:p w14:paraId="00000109" w14:textId="77777777" w:rsidR="009C64D3" w:rsidRDefault="00000000">
      <w:pPr>
        <w:pStyle w:val="Ttulo2"/>
        <w:spacing w:after="160"/>
        <w:jc w:val="both"/>
        <w:rPr>
          <w:b/>
          <w:bCs/>
          <w:sz w:val="20"/>
          <w:szCs w:val="20"/>
        </w:rPr>
      </w:pPr>
      <w:bookmarkStart w:id="9" w:name="_heading=h.guq916ad7yrj" w:colFirst="0" w:colLast="0"/>
      <w:bookmarkEnd w:id="9"/>
      <w:r>
        <w:rPr>
          <w:b/>
          <w:bCs/>
          <w:sz w:val="20"/>
          <w:szCs w:val="20"/>
        </w:rPr>
        <w:t>2.4 Tendencias futuras y tecnologías emergentes</w:t>
      </w:r>
    </w:p>
    <w:p w14:paraId="0000010A" w14:textId="77777777" w:rsidR="009C64D3" w:rsidRDefault="009C64D3">
      <w:pPr>
        <w:spacing w:after="160"/>
        <w:jc w:val="both"/>
        <w:rPr>
          <w:sz w:val="20"/>
          <w:szCs w:val="20"/>
        </w:rPr>
      </w:pPr>
    </w:p>
    <w:p w14:paraId="0000010B" w14:textId="77777777" w:rsidR="009C64D3" w:rsidRDefault="00000000">
      <w:pPr>
        <w:spacing w:after="160"/>
        <w:jc w:val="both"/>
        <w:rPr>
          <w:sz w:val="20"/>
          <w:szCs w:val="20"/>
        </w:rPr>
      </w:pPr>
      <w:r>
        <w:rPr>
          <w:sz w:val="20"/>
          <w:szCs w:val="20"/>
        </w:rPr>
        <w:t>Las tecnologías geoespaciales aplicadas a la agroforestería avanzan hacia una mayor automatización, capacidad de procesamiento y disponibilidad de información. Entre las principales tendencias se encuentran la integración de inteligencia artificial, el uso de sensores conectados y el acceso a datos satelitales abiertos, que amplían las posibilidades de análisis y seguimiento de los sistemas agroforestales.</w:t>
      </w:r>
    </w:p>
    <w:p w14:paraId="0000010C" w14:textId="77777777" w:rsidR="009C64D3" w:rsidRDefault="009C64D3">
      <w:pPr>
        <w:spacing w:after="160"/>
        <w:jc w:val="both"/>
        <w:rPr>
          <w:sz w:val="20"/>
          <w:szCs w:val="20"/>
        </w:rPr>
      </w:pPr>
    </w:p>
    <w:p w14:paraId="0000010D" w14:textId="77777777" w:rsidR="009C64D3" w:rsidRDefault="00000000">
      <w:pPr>
        <w:spacing w:after="160"/>
        <w:jc w:val="both"/>
        <w:rPr>
          <w:sz w:val="20"/>
          <w:szCs w:val="20"/>
        </w:rPr>
      </w:pPr>
      <w:r>
        <w:rPr>
          <w:sz w:val="20"/>
          <w:szCs w:val="20"/>
        </w:rPr>
        <w:t>Las tecnologías que fortalecen estos procesos se presentan a continuación:</w:t>
      </w:r>
    </w:p>
    <w:p w14:paraId="0000010E" w14:textId="77777777" w:rsidR="009C64D3" w:rsidRDefault="009C64D3">
      <w:pPr>
        <w:spacing w:line="240" w:lineRule="auto"/>
        <w:jc w:val="both"/>
        <w:rPr>
          <w:sz w:val="20"/>
          <w:szCs w:val="20"/>
        </w:rPr>
      </w:pPr>
    </w:p>
    <w:sdt>
      <w:sdtPr>
        <w:tag w:val="goog_rdk_6"/>
        <w:id w:val="-759452580"/>
        <w:lock w:val="contentLocked"/>
      </w:sdtPr>
      <w:sdtContent>
        <w:tbl>
          <w:tblPr>
            <w:tblStyle w:val="afffffff0"/>
            <w:tblW w:w="988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85"/>
            <w:gridCol w:w="5400"/>
            <w:gridCol w:w="2700"/>
          </w:tblGrid>
          <w:tr w:rsidR="009C64D3" w14:paraId="6C20FFB2" w14:textId="77777777">
            <w:trPr>
              <w:trHeight w:val="285"/>
            </w:trPr>
            <w:tc>
              <w:tcPr>
                <w:tcW w:w="988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10F" w14:textId="77777777" w:rsidR="009C64D3" w:rsidRDefault="00000000">
                <w:pPr>
                  <w:spacing w:line="240" w:lineRule="auto"/>
                  <w:jc w:val="center"/>
                  <w:rPr>
                    <w:rFonts w:ascii="Times New Roman" w:eastAsia="Times New Roman" w:hAnsi="Times New Roman" w:cs="Times New Roman"/>
                    <w:b/>
                    <w:bCs/>
                    <w:sz w:val="20"/>
                    <w:szCs w:val="20"/>
                  </w:rPr>
                </w:pPr>
                <w:r>
                  <w:rPr>
                    <w:b/>
                    <w:bCs/>
                    <w:sz w:val="20"/>
                    <w:szCs w:val="20"/>
                  </w:rPr>
                  <w:t>Slider</w:t>
                </w:r>
              </w:p>
            </w:tc>
          </w:tr>
          <w:tr w:rsidR="009C64D3" w14:paraId="48FE4F0B"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12" w14:textId="77777777" w:rsidR="009C64D3" w:rsidRDefault="00000000">
                <w:pPr>
                  <w:spacing w:line="240" w:lineRule="auto"/>
                  <w:jc w:val="both"/>
                  <w:rPr>
                    <w:b/>
                    <w:bCs/>
                    <w:sz w:val="20"/>
                    <w:szCs w:val="20"/>
                  </w:rPr>
                </w:pPr>
                <w:r>
                  <w:rPr>
                    <w:b/>
                    <w:bCs/>
                    <w:sz w:val="20"/>
                    <w:szCs w:val="20"/>
                  </w:rPr>
                  <w:t>Integración con inteligencia artificial (GeoAI)</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13" w14:textId="77777777" w:rsidR="009C64D3" w:rsidRDefault="00000000">
                <w:pPr>
                  <w:spacing w:line="240" w:lineRule="auto"/>
                  <w:jc w:val="both"/>
                  <w:rPr>
                    <w:sz w:val="20"/>
                    <w:szCs w:val="20"/>
                  </w:rPr>
                </w:pPr>
                <w:r>
                  <w:rPr>
                    <w:sz w:val="20"/>
                    <w:szCs w:val="20"/>
                  </w:rPr>
                  <w:t>La inteligencia artificial permite procesar grandes volúmenes de imágenes satelitales mediante redes neuronales y automatizar procesos de clasificación de coberturas.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14" w14:textId="77777777" w:rsidR="009C64D3" w:rsidRDefault="00000000">
                <w:pPr>
                  <w:spacing w:line="240" w:lineRule="auto"/>
                  <w:jc w:val="center"/>
                  <w:rPr>
                    <w:sz w:val="20"/>
                    <w:szCs w:val="20"/>
                  </w:rPr>
                </w:pPr>
                <w:r>
                  <w:rPr>
                    <w:noProof/>
                    <w:sz w:val="20"/>
                    <w:szCs w:val="20"/>
                  </w:rPr>
                  <w:drawing>
                    <wp:inline distT="114300" distB="114300" distL="114300" distR="114300" wp14:anchorId="120AD77D" wp14:editId="44F99A85">
                      <wp:extent cx="1704975" cy="850900"/>
                      <wp:effectExtent l="0" t="0" r="0" b="0"/>
                      <wp:docPr id="138875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1704975" cy="850900"/>
                              </a:xfrm>
                              <a:prstGeom prst="rect">
                                <a:avLst/>
                              </a:prstGeom>
                              <a:ln/>
                            </pic:spPr>
                          </pic:pic>
                        </a:graphicData>
                      </a:graphic>
                    </wp:inline>
                  </w:drawing>
                </w:r>
              </w:p>
            </w:tc>
          </w:tr>
          <w:tr w:rsidR="009C64D3" w14:paraId="5F2B2ABE"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15" w14:textId="77777777" w:rsidR="009C64D3" w:rsidRDefault="00000000">
                <w:pPr>
                  <w:pBdr>
                    <w:top w:val="nil"/>
                    <w:left w:val="nil"/>
                    <w:bottom w:val="nil"/>
                    <w:right w:val="nil"/>
                    <w:between w:val="nil"/>
                  </w:pBdr>
                  <w:spacing w:line="240" w:lineRule="auto"/>
                  <w:jc w:val="both"/>
                  <w:rPr>
                    <w:b/>
                    <w:bCs/>
                    <w:sz w:val="20"/>
                    <w:szCs w:val="20"/>
                  </w:rPr>
                </w:pPr>
                <w:r>
                  <w:rPr>
                    <w:b/>
                    <w:bCs/>
                    <w:sz w:val="20"/>
                    <w:szCs w:val="20"/>
                  </w:rPr>
                  <w:t>Sensores de Internet de las Cosas (IoT)</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16" w14:textId="77777777" w:rsidR="009C64D3" w:rsidRDefault="00000000">
                <w:pPr>
                  <w:pBdr>
                    <w:top w:val="nil"/>
                    <w:left w:val="nil"/>
                    <w:bottom w:val="nil"/>
                    <w:right w:val="nil"/>
                    <w:between w:val="nil"/>
                  </w:pBdr>
                  <w:spacing w:line="240" w:lineRule="auto"/>
                  <w:jc w:val="both"/>
                  <w:rPr>
                    <w:sz w:val="20"/>
                    <w:szCs w:val="20"/>
                  </w:rPr>
                </w:pPr>
                <w:r>
                  <w:rPr>
                    <w:sz w:val="20"/>
                    <w:szCs w:val="20"/>
                  </w:rPr>
                  <w:t>Las redes de sensores instaladas en campo pueden integrarse con las capas de los Sistemas de Información Geográfica (SIG) para disponer de información actualizada sobre diferentes variables del territorio.</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17" w14:textId="77777777" w:rsidR="009C64D3" w:rsidRDefault="00000000">
                <w:pPr>
                  <w:spacing w:line="240" w:lineRule="auto"/>
                  <w:jc w:val="center"/>
                  <w:rPr>
                    <w:sz w:val="20"/>
                    <w:szCs w:val="20"/>
                  </w:rPr>
                </w:pPr>
                <w:r>
                  <w:rPr>
                    <w:noProof/>
                    <w:sz w:val="20"/>
                    <w:szCs w:val="20"/>
                  </w:rPr>
                  <w:drawing>
                    <wp:inline distT="114300" distB="114300" distL="114300" distR="114300" wp14:anchorId="36A9BE6D" wp14:editId="28FB3AD5">
                      <wp:extent cx="1704975" cy="965200"/>
                      <wp:effectExtent l="0" t="0" r="0" b="0"/>
                      <wp:docPr id="13887582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2"/>
                              <a:srcRect/>
                              <a:stretch>
                                <a:fillRect/>
                              </a:stretch>
                            </pic:blipFill>
                            <pic:spPr>
                              <a:xfrm>
                                <a:off x="0" y="0"/>
                                <a:ext cx="1704975" cy="965200"/>
                              </a:xfrm>
                              <a:prstGeom prst="rect">
                                <a:avLst/>
                              </a:prstGeom>
                              <a:ln/>
                            </pic:spPr>
                          </pic:pic>
                        </a:graphicData>
                      </a:graphic>
                    </wp:inline>
                  </w:drawing>
                </w:r>
              </w:p>
            </w:tc>
          </w:tr>
          <w:tr w:rsidR="009C64D3" w14:paraId="16139B62"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18" w14:textId="77777777" w:rsidR="009C64D3" w:rsidRDefault="00000000">
                <w:pPr>
                  <w:spacing w:line="240" w:lineRule="auto"/>
                  <w:jc w:val="both"/>
                  <w:rPr>
                    <w:b/>
                    <w:bCs/>
                    <w:sz w:val="20"/>
                    <w:szCs w:val="20"/>
                  </w:rPr>
                </w:pPr>
                <w:r>
                  <w:rPr>
                    <w:b/>
                    <w:bCs/>
                    <w:sz w:val="20"/>
                    <w:szCs w:val="20"/>
                  </w:rPr>
                  <w:t>Acceso a datos abiertos</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19" w14:textId="77777777" w:rsidR="009C64D3" w:rsidRDefault="00000000">
                <w:pPr>
                  <w:spacing w:line="240" w:lineRule="auto"/>
                  <w:jc w:val="both"/>
                  <w:rPr>
                    <w:sz w:val="20"/>
                    <w:szCs w:val="20"/>
                  </w:rPr>
                </w:pPr>
                <w:r>
                  <w:rPr>
                    <w:sz w:val="20"/>
                    <w:szCs w:val="20"/>
                  </w:rPr>
                  <w:t>Las constelaciones satelitales de acceso abierto, como Sentinel del programa Copernicus de la Agencia Espacial Europea y Landsat de la NASA, facilitan la disponibilidad periódica de información para el análisis geoespacial.</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1A" w14:textId="77777777" w:rsidR="009C64D3" w:rsidRDefault="00000000">
                <w:pPr>
                  <w:spacing w:line="240" w:lineRule="auto"/>
                  <w:jc w:val="center"/>
                  <w:rPr>
                    <w:sz w:val="20"/>
                    <w:szCs w:val="20"/>
                  </w:rPr>
                </w:pPr>
                <w:r>
                  <w:rPr>
                    <w:noProof/>
                    <w:sz w:val="20"/>
                    <w:szCs w:val="20"/>
                  </w:rPr>
                  <w:drawing>
                    <wp:inline distT="114300" distB="114300" distL="114300" distR="114300" wp14:anchorId="490CD20C" wp14:editId="0BE2F9F1">
                      <wp:extent cx="1704975" cy="736600"/>
                      <wp:effectExtent l="0" t="0" r="0" b="0"/>
                      <wp:docPr id="1388758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1704975" cy="736600"/>
                              </a:xfrm>
                              <a:prstGeom prst="rect">
                                <a:avLst/>
                              </a:prstGeom>
                              <a:ln/>
                            </pic:spPr>
                          </pic:pic>
                        </a:graphicData>
                      </a:graphic>
                    </wp:inline>
                  </w:drawing>
                </w:r>
              </w:p>
            </w:tc>
          </w:tr>
        </w:tbl>
      </w:sdtContent>
    </w:sdt>
    <w:p w14:paraId="0000011B" w14:textId="77777777" w:rsidR="009C64D3" w:rsidRDefault="009C64D3">
      <w:pPr>
        <w:spacing w:line="240" w:lineRule="auto"/>
        <w:jc w:val="both"/>
        <w:rPr>
          <w:sz w:val="20"/>
          <w:szCs w:val="20"/>
        </w:rPr>
      </w:pPr>
    </w:p>
    <w:p w14:paraId="0000011C" w14:textId="77777777" w:rsidR="009C64D3" w:rsidRDefault="00000000">
      <w:pPr>
        <w:spacing w:line="240" w:lineRule="auto"/>
        <w:jc w:val="both"/>
        <w:rPr>
          <w:sz w:val="20"/>
          <w:szCs w:val="20"/>
        </w:rPr>
      </w:pPr>
      <w:r>
        <w:rPr>
          <w:sz w:val="20"/>
          <w:szCs w:val="20"/>
        </w:rPr>
        <w:t>La automatización, la alta resolución y la modelización predictiva también impulsan nuevas formas de caracterizar, simular y realizar seguimiento a los sistemas agroforestales.</w:t>
      </w:r>
    </w:p>
    <w:p w14:paraId="0000011D" w14:textId="77777777" w:rsidR="009C64D3" w:rsidRDefault="009C64D3">
      <w:pPr>
        <w:spacing w:line="240" w:lineRule="auto"/>
        <w:jc w:val="both"/>
        <w:rPr>
          <w:sz w:val="20"/>
          <w:szCs w:val="20"/>
        </w:rPr>
      </w:pPr>
    </w:p>
    <w:p w14:paraId="0000011E" w14:textId="77777777" w:rsidR="009C64D3" w:rsidRDefault="00000000">
      <w:pPr>
        <w:spacing w:line="240" w:lineRule="auto"/>
        <w:jc w:val="both"/>
        <w:rPr>
          <w:sz w:val="20"/>
          <w:szCs w:val="20"/>
        </w:rPr>
      </w:pPr>
      <w:r>
        <w:rPr>
          <w:sz w:val="20"/>
          <w:szCs w:val="20"/>
        </w:rPr>
        <w:t>Las principales líneas de desarrollo tecnológico se relacionan a continuación:</w:t>
      </w:r>
    </w:p>
    <w:p w14:paraId="3B07B33D" w14:textId="77777777" w:rsidR="00DC122F" w:rsidRDefault="00DC122F">
      <w:pPr>
        <w:spacing w:line="240" w:lineRule="auto"/>
        <w:jc w:val="both"/>
        <w:rPr>
          <w:sz w:val="20"/>
          <w:szCs w:val="20"/>
        </w:rPr>
      </w:pPr>
    </w:p>
    <w:p w14:paraId="4A49EA2C" w14:textId="77777777" w:rsidR="00DC122F" w:rsidRDefault="00DC122F">
      <w:pPr>
        <w:spacing w:line="240" w:lineRule="auto"/>
        <w:jc w:val="both"/>
        <w:rPr>
          <w:sz w:val="20"/>
          <w:szCs w:val="20"/>
        </w:rPr>
      </w:pPr>
    </w:p>
    <w:p w14:paraId="510F28D7" w14:textId="77777777" w:rsidR="00DC122F" w:rsidRDefault="00DC122F">
      <w:pPr>
        <w:spacing w:line="240" w:lineRule="auto"/>
        <w:jc w:val="both"/>
        <w:rPr>
          <w:sz w:val="20"/>
          <w:szCs w:val="20"/>
        </w:rPr>
      </w:pPr>
    </w:p>
    <w:p w14:paraId="58456D6E" w14:textId="77777777" w:rsidR="00DC122F" w:rsidRDefault="00DC122F">
      <w:pPr>
        <w:spacing w:line="240" w:lineRule="auto"/>
        <w:jc w:val="both"/>
        <w:rPr>
          <w:sz w:val="20"/>
          <w:szCs w:val="20"/>
        </w:rPr>
      </w:pPr>
    </w:p>
    <w:p w14:paraId="347268DE" w14:textId="77777777" w:rsidR="00DC122F" w:rsidRDefault="00DC122F">
      <w:pPr>
        <w:spacing w:line="240" w:lineRule="auto"/>
        <w:jc w:val="both"/>
        <w:rPr>
          <w:sz w:val="20"/>
          <w:szCs w:val="20"/>
        </w:rPr>
      </w:pPr>
    </w:p>
    <w:p w14:paraId="0DF0721B" w14:textId="77777777" w:rsidR="00DC122F" w:rsidRDefault="00DC122F">
      <w:pPr>
        <w:spacing w:line="240" w:lineRule="auto"/>
        <w:jc w:val="both"/>
        <w:rPr>
          <w:sz w:val="20"/>
          <w:szCs w:val="20"/>
        </w:rPr>
      </w:pPr>
    </w:p>
    <w:p w14:paraId="0000011F" w14:textId="77777777" w:rsidR="009C64D3" w:rsidRDefault="009C64D3">
      <w:pPr>
        <w:spacing w:line="240" w:lineRule="auto"/>
        <w:jc w:val="both"/>
        <w:rPr>
          <w:sz w:val="20"/>
          <w:szCs w:val="20"/>
        </w:rPr>
      </w:pPr>
    </w:p>
    <w:sdt>
      <w:sdtPr>
        <w:tag w:val="goog_rdk_7"/>
        <w:id w:val="2541144"/>
        <w:lock w:val="contentLocked"/>
      </w:sdtPr>
      <w:sdtContent>
        <w:tbl>
          <w:tblPr>
            <w:tblStyle w:val="afffffff1"/>
            <w:tblW w:w="988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85"/>
            <w:gridCol w:w="5400"/>
            <w:gridCol w:w="2700"/>
          </w:tblGrid>
          <w:tr w:rsidR="009C64D3" w14:paraId="093CC8B6" w14:textId="77777777">
            <w:trPr>
              <w:trHeight w:val="285"/>
            </w:trPr>
            <w:tc>
              <w:tcPr>
                <w:tcW w:w="988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120" w14:textId="77777777" w:rsidR="009C64D3" w:rsidRDefault="00000000">
                <w:pPr>
                  <w:spacing w:line="240" w:lineRule="auto"/>
                  <w:jc w:val="center"/>
                  <w:rPr>
                    <w:rFonts w:ascii="Times New Roman" w:eastAsia="Times New Roman" w:hAnsi="Times New Roman" w:cs="Times New Roman"/>
                    <w:b/>
                    <w:bCs/>
                    <w:sz w:val="20"/>
                    <w:szCs w:val="20"/>
                  </w:rPr>
                </w:pPr>
                <w:r>
                  <w:rPr>
                    <w:b/>
                    <w:bCs/>
                    <w:sz w:val="20"/>
                    <w:szCs w:val="20"/>
                  </w:rPr>
                  <w:t>Pestañas</w:t>
                </w:r>
              </w:p>
            </w:tc>
          </w:tr>
          <w:tr w:rsidR="009C64D3" w14:paraId="7BEC93E1"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23" w14:textId="77777777" w:rsidR="009C64D3" w:rsidRDefault="00000000">
                <w:pPr>
                  <w:pStyle w:val="Ttulo3"/>
                  <w:keepNext w:val="0"/>
                  <w:keepLines w:val="0"/>
                  <w:spacing w:before="280" w:line="240" w:lineRule="auto"/>
                  <w:jc w:val="both"/>
                  <w:rPr>
                    <w:b/>
                    <w:bCs/>
                    <w:color w:val="000000"/>
                    <w:sz w:val="20"/>
                    <w:szCs w:val="20"/>
                  </w:rPr>
                </w:pPr>
                <w:bookmarkStart w:id="10" w:name="_heading=h.u6b1cdccr2w6" w:colFirst="0" w:colLast="0"/>
                <w:bookmarkEnd w:id="10"/>
                <w:r>
                  <w:rPr>
                    <w:b/>
                    <w:bCs/>
                    <w:color w:val="000000"/>
                    <w:sz w:val="20"/>
                    <w:szCs w:val="20"/>
                  </w:rPr>
                  <w:t>Inteligencia artificial y aprendizaje profundo</w:t>
                </w:r>
              </w:p>
              <w:p w14:paraId="00000124" w14:textId="77777777" w:rsidR="009C64D3" w:rsidRDefault="009C64D3">
                <w:pPr>
                  <w:spacing w:line="240" w:lineRule="auto"/>
                  <w:jc w:val="both"/>
                  <w:rPr>
                    <w:b/>
                    <w:bCs/>
                    <w:sz w:val="20"/>
                    <w:szCs w:val="20"/>
                  </w:rP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25" w14:textId="77777777" w:rsidR="009C64D3" w:rsidRDefault="00000000">
                <w:pPr>
                  <w:spacing w:line="240" w:lineRule="auto"/>
                  <w:jc w:val="both"/>
                  <w:rPr>
                    <w:sz w:val="20"/>
                    <w:szCs w:val="20"/>
                  </w:rPr>
                </w:pPr>
                <w:r>
                  <w:rPr>
                    <w:sz w:val="20"/>
                    <w:szCs w:val="20"/>
                  </w:rPr>
                  <w:t>La aplicación de la inteligencia artificial al análisis geoespacial se desarrolla mediante dos líneas principales:</w:t>
                </w:r>
              </w:p>
              <w:p w14:paraId="00000126" w14:textId="77777777" w:rsidR="009C64D3" w:rsidRDefault="009C64D3">
                <w:pPr>
                  <w:spacing w:line="240" w:lineRule="auto"/>
                  <w:jc w:val="both"/>
                  <w:rPr>
                    <w:sz w:val="20"/>
                    <w:szCs w:val="20"/>
                  </w:rPr>
                </w:pPr>
              </w:p>
              <w:p w14:paraId="00000127" w14:textId="77777777" w:rsidR="009C64D3" w:rsidRDefault="00000000">
                <w:pPr>
                  <w:numPr>
                    <w:ilvl w:val="0"/>
                    <w:numId w:val="3"/>
                  </w:numPr>
                  <w:spacing w:line="240" w:lineRule="auto"/>
                  <w:ind w:left="425"/>
                  <w:jc w:val="both"/>
                  <w:rPr>
                    <w:sz w:val="20"/>
                    <w:szCs w:val="20"/>
                  </w:rPr>
                </w:pPr>
                <w:r>
                  <w:rPr>
                    <w:b/>
                    <w:bCs/>
                    <w:sz w:val="20"/>
                    <w:szCs w:val="20"/>
                  </w:rPr>
                  <w:t>Clasificación automatizada:</w:t>
                </w:r>
                <w:r>
                  <w:rPr>
                    <w:sz w:val="20"/>
                    <w:szCs w:val="20"/>
                  </w:rPr>
                  <w:t xml:space="preserve"> las redes neuronales convolucionales (CNN) permiten identificar especies de árboles individuales dentro de sistemas biodiversos a partir de imágenes satelitales de alta resolución.</w:t>
                </w:r>
              </w:p>
              <w:p w14:paraId="00000128" w14:textId="77777777" w:rsidR="009C64D3" w:rsidRDefault="009C64D3">
                <w:pPr>
                  <w:spacing w:line="240" w:lineRule="auto"/>
                  <w:ind w:left="425" w:hanging="360"/>
                  <w:jc w:val="both"/>
                  <w:rPr>
                    <w:sz w:val="20"/>
                    <w:szCs w:val="20"/>
                  </w:rPr>
                </w:pPr>
              </w:p>
              <w:p w14:paraId="00000129" w14:textId="77777777" w:rsidR="009C64D3" w:rsidRDefault="00000000">
                <w:pPr>
                  <w:numPr>
                    <w:ilvl w:val="0"/>
                    <w:numId w:val="3"/>
                  </w:numPr>
                  <w:spacing w:line="240" w:lineRule="auto"/>
                  <w:ind w:left="425"/>
                  <w:jc w:val="both"/>
                  <w:rPr>
                    <w:sz w:val="20"/>
                    <w:szCs w:val="20"/>
                  </w:rPr>
                </w:pPr>
                <w:r>
                  <w:rPr>
                    <w:b/>
                    <w:bCs/>
                    <w:sz w:val="20"/>
                    <w:szCs w:val="20"/>
                  </w:rPr>
                  <w:t>Predicción de rendimiento:</w:t>
                </w:r>
                <w:r>
                  <w:rPr>
                    <w:sz w:val="20"/>
                    <w:szCs w:val="20"/>
                  </w:rPr>
                  <w:t xml:space="preserve"> los modelos predictivos integran datos climáticos, del suelo y geoespaciales para estimar la producción combinada de madera, frutos y cultivos.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2A" w14:textId="77777777" w:rsidR="009C64D3" w:rsidRDefault="00000000">
                <w:pPr>
                  <w:spacing w:line="240" w:lineRule="auto"/>
                  <w:jc w:val="center"/>
                  <w:rPr>
                    <w:sz w:val="20"/>
                    <w:szCs w:val="20"/>
                  </w:rPr>
                </w:pPr>
                <w:r>
                  <w:rPr>
                    <w:noProof/>
                    <w:sz w:val="20"/>
                    <w:szCs w:val="20"/>
                  </w:rPr>
                  <w:drawing>
                    <wp:inline distT="114300" distB="114300" distL="114300" distR="114300" wp14:anchorId="1D9B5564" wp14:editId="6B2791B3">
                      <wp:extent cx="1704975" cy="952500"/>
                      <wp:effectExtent l="0" t="0" r="0" b="0"/>
                      <wp:docPr id="1388758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4"/>
                              <a:srcRect/>
                              <a:stretch>
                                <a:fillRect/>
                              </a:stretch>
                            </pic:blipFill>
                            <pic:spPr>
                              <a:xfrm>
                                <a:off x="0" y="0"/>
                                <a:ext cx="1704975" cy="952500"/>
                              </a:xfrm>
                              <a:prstGeom prst="rect">
                                <a:avLst/>
                              </a:prstGeom>
                              <a:ln/>
                            </pic:spPr>
                          </pic:pic>
                        </a:graphicData>
                      </a:graphic>
                    </wp:inline>
                  </w:drawing>
                </w:r>
              </w:p>
            </w:tc>
          </w:tr>
          <w:tr w:rsidR="009C64D3" w14:paraId="3DF20D8F"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2B" w14:textId="77777777" w:rsidR="009C64D3" w:rsidRDefault="00000000">
                <w:pPr>
                  <w:pStyle w:val="Ttulo3"/>
                  <w:keepNext w:val="0"/>
                  <w:keepLines w:val="0"/>
                  <w:spacing w:before="280" w:line="240" w:lineRule="auto"/>
                  <w:jc w:val="both"/>
                  <w:rPr>
                    <w:b/>
                    <w:bCs/>
                    <w:color w:val="000000"/>
                    <w:sz w:val="20"/>
                    <w:szCs w:val="20"/>
                  </w:rPr>
                </w:pPr>
                <w:r>
                  <w:rPr>
                    <w:b/>
                    <w:bCs/>
                    <w:color w:val="000000"/>
                    <w:sz w:val="20"/>
                    <w:szCs w:val="20"/>
                  </w:rPr>
                  <w:t>LiDAR y sensores de nueva generación</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2C" w14:textId="77777777" w:rsidR="009C64D3" w:rsidRDefault="00000000">
                <w:pPr>
                  <w:spacing w:line="240" w:lineRule="auto"/>
                  <w:jc w:val="both"/>
                  <w:rPr>
                    <w:sz w:val="20"/>
                    <w:szCs w:val="20"/>
                  </w:rPr>
                </w:pPr>
                <w:r>
                  <w:rPr>
                    <w:sz w:val="20"/>
                    <w:szCs w:val="20"/>
                  </w:rPr>
                  <w:t>Las tecnologías de nueva generación aplicadas al análisis agroforestal comprenden los siguientes desarrollos:</w:t>
                </w:r>
              </w:p>
              <w:p w14:paraId="0000012D" w14:textId="77777777" w:rsidR="009C64D3" w:rsidRDefault="009C64D3">
                <w:pPr>
                  <w:spacing w:line="240" w:lineRule="auto"/>
                  <w:jc w:val="both"/>
                  <w:rPr>
                    <w:sz w:val="20"/>
                    <w:szCs w:val="20"/>
                  </w:rPr>
                </w:pPr>
              </w:p>
              <w:p w14:paraId="0000012E" w14:textId="77777777" w:rsidR="009C64D3" w:rsidRDefault="00000000">
                <w:pPr>
                  <w:numPr>
                    <w:ilvl w:val="0"/>
                    <w:numId w:val="3"/>
                  </w:numPr>
                  <w:pBdr>
                    <w:top w:val="nil"/>
                    <w:left w:val="nil"/>
                    <w:bottom w:val="nil"/>
                    <w:right w:val="nil"/>
                    <w:between w:val="nil"/>
                  </w:pBdr>
                  <w:spacing w:line="240" w:lineRule="auto"/>
                  <w:ind w:left="425"/>
                  <w:jc w:val="both"/>
                  <w:rPr>
                    <w:sz w:val="20"/>
                    <w:szCs w:val="20"/>
                  </w:rPr>
                </w:pPr>
                <w:r>
                  <w:rPr>
                    <w:b/>
                    <w:bCs/>
                    <w:sz w:val="20"/>
                    <w:szCs w:val="20"/>
                  </w:rPr>
                  <w:t>Estructura tridimensional con LiDAR</w:t>
                </w:r>
                <w:r>
                  <w:rPr>
                    <w:sz w:val="20"/>
                    <w:szCs w:val="20"/>
                  </w:rPr>
                  <w:t>: los sensores LiDAR aerotransportados o instalados en drones permiten generar información sobre la arquitectura del dosel, la penetración de la luz y el volumen de madera.</w:t>
                </w:r>
              </w:p>
              <w:p w14:paraId="0000012F" w14:textId="77777777" w:rsidR="009C64D3" w:rsidRDefault="009C64D3">
                <w:pPr>
                  <w:pBdr>
                    <w:top w:val="nil"/>
                    <w:left w:val="nil"/>
                    <w:bottom w:val="nil"/>
                    <w:right w:val="nil"/>
                    <w:between w:val="nil"/>
                  </w:pBdr>
                  <w:spacing w:line="240" w:lineRule="auto"/>
                  <w:ind w:left="720"/>
                  <w:jc w:val="both"/>
                  <w:rPr>
                    <w:sz w:val="20"/>
                    <w:szCs w:val="20"/>
                  </w:rPr>
                </w:pPr>
              </w:p>
              <w:p w14:paraId="00000130" w14:textId="77777777" w:rsidR="009C64D3" w:rsidRDefault="00000000">
                <w:pPr>
                  <w:numPr>
                    <w:ilvl w:val="0"/>
                    <w:numId w:val="3"/>
                  </w:numPr>
                  <w:pBdr>
                    <w:top w:val="nil"/>
                    <w:left w:val="nil"/>
                    <w:bottom w:val="nil"/>
                    <w:right w:val="nil"/>
                    <w:between w:val="nil"/>
                  </w:pBdr>
                  <w:spacing w:line="240" w:lineRule="auto"/>
                  <w:ind w:left="425"/>
                  <w:jc w:val="both"/>
                  <w:rPr>
                    <w:sz w:val="20"/>
                    <w:szCs w:val="20"/>
                  </w:rPr>
                </w:pPr>
                <w:r>
                  <w:rPr>
                    <w:b/>
                    <w:bCs/>
                    <w:sz w:val="20"/>
                    <w:szCs w:val="20"/>
                  </w:rPr>
                  <w:t>Imágenes hiperespectrales</w:t>
                </w:r>
                <w:r>
                  <w:rPr>
                    <w:sz w:val="20"/>
                    <w:szCs w:val="20"/>
                  </w:rPr>
                  <w:t>: permiten identificar condiciones asociadas con estrés hídrico, deficiencias nutricionales y presencia de plagas en etapas tempranas, diferenciando las necesidades de los componentes forestal y agrícola.</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31" w14:textId="77777777" w:rsidR="009C64D3" w:rsidRDefault="00000000">
                <w:pPr>
                  <w:spacing w:line="240" w:lineRule="auto"/>
                  <w:jc w:val="center"/>
                  <w:rPr>
                    <w:sz w:val="20"/>
                    <w:szCs w:val="20"/>
                  </w:rPr>
                </w:pPr>
                <w:r>
                  <w:rPr>
                    <w:noProof/>
                    <w:sz w:val="20"/>
                    <w:szCs w:val="20"/>
                  </w:rPr>
                  <w:drawing>
                    <wp:inline distT="114300" distB="114300" distL="114300" distR="114300" wp14:anchorId="680D7EF4" wp14:editId="68CC4B4D">
                      <wp:extent cx="1704975" cy="965200"/>
                      <wp:effectExtent l="0" t="0" r="0" b="0"/>
                      <wp:docPr id="1388758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1704975" cy="965200"/>
                              </a:xfrm>
                              <a:prstGeom prst="rect">
                                <a:avLst/>
                              </a:prstGeom>
                              <a:ln/>
                            </pic:spPr>
                          </pic:pic>
                        </a:graphicData>
                      </a:graphic>
                    </wp:inline>
                  </w:drawing>
                </w:r>
              </w:p>
            </w:tc>
          </w:tr>
          <w:tr w:rsidR="009C64D3" w14:paraId="09FEF34E"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32" w14:textId="77777777" w:rsidR="009C64D3" w:rsidRDefault="00000000">
                <w:pPr>
                  <w:pStyle w:val="Ttulo3"/>
                  <w:keepNext w:val="0"/>
                  <w:keepLines w:val="0"/>
                  <w:spacing w:before="280" w:line="240" w:lineRule="auto"/>
                  <w:jc w:val="both"/>
                  <w:rPr>
                    <w:b/>
                    <w:bCs/>
                    <w:color w:val="000000"/>
                    <w:sz w:val="20"/>
                    <w:szCs w:val="20"/>
                  </w:rPr>
                </w:pPr>
                <w:r>
                  <w:rPr>
                    <w:b/>
                    <w:bCs/>
                    <w:color w:val="000000"/>
                    <w:sz w:val="20"/>
                    <w:szCs w:val="20"/>
                  </w:rPr>
                  <w:t>Gemelos digitales y simulación temporal</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33" w14:textId="77777777" w:rsidR="009C64D3" w:rsidRDefault="00000000">
                <w:pPr>
                  <w:spacing w:after="240" w:line="240" w:lineRule="auto"/>
                  <w:jc w:val="both"/>
                  <w:rPr>
                    <w:sz w:val="20"/>
                    <w:szCs w:val="20"/>
                  </w:rPr>
                </w:pPr>
                <w:r>
                  <w:rPr>
                    <w:sz w:val="20"/>
                    <w:szCs w:val="20"/>
                  </w:rPr>
                  <w:t>La simulación temporal mediante gemelos digitales se desarrolla a partir del siguiente enfoque:</w:t>
                </w:r>
              </w:p>
              <w:p w14:paraId="00000134" w14:textId="77777777" w:rsidR="009C64D3" w:rsidRDefault="00000000">
                <w:pPr>
                  <w:numPr>
                    <w:ilvl w:val="0"/>
                    <w:numId w:val="3"/>
                  </w:numPr>
                  <w:pBdr>
                    <w:top w:val="nil"/>
                    <w:left w:val="nil"/>
                    <w:bottom w:val="nil"/>
                    <w:right w:val="nil"/>
                    <w:between w:val="nil"/>
                  </w:pBdr>
                  <w:spacing w:line="240" w:lineRule="auto"/>
                  <w:ind w:left="425"/>
                  <w:jc w:val="both"/>
                  <w:rPr>
                    <w:sz w:val="20"/>
                    <w:szCs w:val="20"/>
                  </w:rPr>
                </w:pPr>
                <w:r>
                  <w:rPr>
                    <w:b/>
                    <w:bCs/>
                    <w:sz w:val="20"/>
                    <w:szCs w:val="20"/>
                  </w:rPr>
                  <w:t>Réplicas</w:t>
                </w:r>
                <w:r>
                  <w:rPr>
                    <w:sz w:val="20"/>
                    <w:szCs w:val="20"/>
                  </w:rPr>
                  <w:t xml:space="preserve"> </w:t>
                </w:r>
                <w:r>
                  <w:rPr>
                    <w:b/>
                    <w:bCs/>
                    <w:sz w:val="20"/>
                    <w:szCs w:val="20"/>
                  </w:rPr>
                  <w:t>virtuales</w:t>
                </w:r>
                <w:r>
                  <w:rPr>
                    <w:sz w:val="20"/>
                    <w:szCs w:val="20"/>
                  </w:rPr>
                  <w:t>: los gemelos digitales (</w:t>
                </w:r>
                <w:r>
                  <w:rPr>
                    <w:i/>
                    <w:iCs/>
                    <w:sz w:val="20"/>
                    <w:szCs w:val="20"/>
                  </w:rPr>
                  <w:t>digital twins</w:t>
                </w:r>
                <w:r>
                  <w:rPr>
                    <w:sz w:val="20"/>
                    <w:szCs w:val="20"/>
                  </w:rPr>
                  <w:t>) permiten crear modelos tridimensionales e interactivos de sistemas agroforestales. Estos modelos pueden utilizarse para simular el crecimiento de los árboles en diferentes periodos y analizar el efecto de la sombra sobre los cultivos asociados.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35" w14:textId="77777777" w:rsidR="009C64D3" w:rsidRDefault="00000000">
                <w:pPr>
                  <w:spacing w:line="240" w:lineRule="auto"/>
                  <w:jc w:val="center"/>
                  <w:rPr>
                    <w:sz w:val="20"/>
                    <w:szCs w:val="20"/>
                  </w:rPr>
                </w:pPr>
                <w:r>
                  <w:rPr>
                    <w:noProof/>
                    <w:sz w:val="20"/>
                    <w:szCs w:val="20"/>
                  </w:rPr>
                  <w:drawing>
                    <wp:inline distT="114300" distB="114300" distL="114300" distR="114300" wp14:anchorId="0071C210" wp14:editId="272E814F">
                      <wp:extent cx="1704975" cy="952500"/>
                      <wp:effectExtent l="0" t="0" r="0" b="0"/>
                      <wp:docPr id="138875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a:stretch>
                                <a:fillRect/>
                              </a:stretch>
                            </pic:blipFill>
                            <pic:spPr>
                              <a:xfrm>
                                <a:off x="0" y="0"/>
                                <a:ext cx="1704975" cy="952500"/>
                              </a:xfrm>
                              <a:prstGeom prst="rect">
                                <a:avLst/>
                              </a:prstGeom>
                              <a:ln/>
                            </pic:spPr>
                          </pic:pic>
                        </a:graphicData>
                      </a:graphic>
                    </wp:inline>
                  </w:drawing>
                </w:r>
              </w:p>
            </w:tc>
          </w:tr>
          <w:tr w:rsidR="009C64D3" w14:paraId="14C8AE56"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36" w14:textId="77777777" w:rsidR="009C64D3" w:rsidRDefault="00000000">
                <w:pPr>
                  <w:pStyle w:val="Ttulo3"/>
                  <w:keepNext w:val="0"/>
                  <w:keepLines w:val="0"/>
                  <w:spacing w:before="280" w:line="240" w:lineRule="auto"/>
                  <w:jc w:val="both"/>
                  <w:rPr>
                    <w:b/>
                    <w:bCs/>
                    <w:color w:val="000000"/>
                    <w:sz w:val="20"/>
                    <w:szCs w:val="20"/>
                  </w:rPr>
                </w:pPr>
                <w:r>
                  <w:rPr>
                    <w:b/>
                    <w:bCs/>
                    <w:color w:val="000000"/>
                    <w:sz w:val="20"/>
                    <w:szCs w:val="20"/>
                  </w:rPr>
                  <w:t>Computación en la nube y monitoreo en tiempo real</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37" w14:textId="77777777" w:rsidR="009C64D3" w:rsidRDefault="00000000">
                <w:pPr>
                  <w:spacing w:after="240" w:line="240" w:lineRule="auto"/>
                  <w:jc w:val="both"/>
                  <w:rPr>
                    <w:sz w:val="20"/>
                    <w:szCs w:val="20"/>
                  </w:rPr>
                </w:pPr>
                <w:r>
                  <w:rPr>
                    <w:sz w:val="20"/>
                    <w:szCs w:val="20"/>
                  </w:rPr>
                  <w:t>La computación en la nube y el monitoreo en tiempo real se articulan mediante las siguientes alternativas:</w:t>
                </w:r>
              </w:p>
              <w:p w14:paraId="00000138" w14:textId="77777777" w:rsidR="009C64D3" w:rsidRDefault="00000000">
                <w:pPr>
                  <w:numPr>
                    <w:ilvl w:val="0"/>
                    <w:numId w:val="3"/>
                  </w:numPr>
                  <w:pBdr>
                    <w:top w:val="nil"/>
                    <w:left w:val="nil"/>
                    <w:bottom w:val="nil"/>
                    <w:right w:val="nil"/>
                    <w:between w:val="nil"/>
                  </w:pBdr>
                  <w:spacing w:line="240" w:lineRule="auto"/>
                  <w:ind w:left="425"/>
                  <w:jc w:val="both"/>
                  <w:rPr>
                    <w:sz w:val="20"/>
                    <w:szCs w:val="20"/>
                  </w:rPr>
                </w:pPr>
                <w:r>
                  <w:rPr>
                    <w:b/>
                    <w:bCs/>
                    <w:sz w:val="20"/>
                    <w:szCs w:val="20"/>
                  </w:rPr>
                  <w:t>Plataformas de procesamiento</w:t>
                </w:r>
                <w:r>
                  <w:rPr>
                    <w:sz w:val="20"/>
                    <w:szCs w:val="20"/>
                  </w:rPr>
                  <w:t>: herramientas como Google Earth Engine, Microsoft Planetary Computer y otras plataformas basadas en datos de Sentinel y Landsat permiten procesar series temporales extensas sin requerir software local de alta capacidad.</w:t>
                </w:r>
              </w:p>
              <w:p w14:paraId="00000139" w14:textId="77777777" w:rsidR="009C64D3" w:rsidRDefault="009C64D3">
                <w:pPr>
                  <w:pBdr>
                    <w:top w:val="nil"/>
                    <w:left w:val="nil"/>
                    <w:bottom w:val="nil"/>
                    <w:right w:val="nil"/>
                    <w:between w:val="nil"/>
                  </w:pBdr>
                  <w:spacing w:line="240" w:lineRule="auto"/>
                  <w:ind w:left="720"/>
                  <w:jc w:val="both"/>
                  <w:rPr>
                    <w:sz w:val="20"/>
                    <w:szCs w:val="20"/>
                  </w:rPr>
                </w:pPr>
              </w:p>
              <w:p w14:paraId="0000013A" w14:textId="77777777" w:rsidR="009C64D3" w:rsidRDefault="00000000">
                <w:pPr>
                  <w:numPr>
                    <w:ilvl w:val="0"/>
                    <w:numId w:val="3"/>
                  </w:numPr>
                  <w:pBdr>
                    <w:top w:val="nil"/>
                    <w:left w:val="nil"/>
                    <w:bottom w:val="nil"/>
                    <w:right w:val="nil"/>
                    <w:between w:val="nil"/>
                  </w:pBdr>
                  <w:spacing w:line="240" w:lineRule="auto"/>
                  <w:ind w:left="425"/>
                  <w:jc w:val="both"/>
                  <w:rPr>
                    <w:sz w:val="20"/>
                    <w:szCs w:val="20"/>
                  </w:rPr>
                </w:pPr>
                <w:r>
                  <w:rPr>
                    <w:b/>
                    <w:bCs/>
                    <w:sz w:val="20"/>
                    <w:szCs w:val="20"/>
                  </w:rPr>
                  <w:t>Monitoreo de carbono para mercados verdes</w:t>
                </w:r>
                <w:r>
                  <w:rPr>
                    <w:sz w:val="20"/>
                    <w:szCs w:val="20"/>
                  </w:rPr>
                  <w:t>: las plataformas geoespaciales automatizadas pueden apoyar el seguimiento de la captura de carbono y la biodiversidad, así como la generación de información asociada con la participación de los productores en mercados de bonos de carbono.</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3B" w14:textId="77777777" w:rsidR="009C64D3" w:rsidRDefault="00000000">
                <w:pPr>
                  <w:spacing w:line="240" w:lineRule="auto"/>
                  <w:jc w:val="center"/>
                  <w:rPr>
                    <w:sz w:val="20"/>
                    <w:szCs w:val="20"/>
                  </w:rPr>
                </w:pPr>
                <w:r>
                  <w:rPr>
                    <w:noProof/>
                    <w:sz w:val="20"/>
                    <w:szCs w:val="20"/>
                  </w:rPr>
                  <w:drawing>
                    <wp:inline distT="114300" distB="114300" distL="114300" distR="114300" wp14:anchorId="3E236E98" wp14:editId="705699B7">
                      <wp:extent cx="1704975" cy="952500"/>
                      <wp:effectExtent l="0" t="0" r="0" b="0"/>
                      <wp:docPr id="1388758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1704975" cy="952500"/>
                              </a:xfrm>
                              <a:prstGeom prst="rect">
                                <a:avLst/>
                              </a:prstGeom>
                              <a:ln/>
                            </pic:spPr>
                          </pic:pic>
                        </a:graphicData>
                      </a:graphic>
                    </wp:inline>
                  </w:drawing>
                </w:r>
              </w:p>
              <w:p w14:paraId="0000013C" w14:textId="77777777" w:rsidR="009C64D3" w:rsidRDefault="00000000">
                <w:pPr>
                  <w:spacing w:line="240" w:lineRule="auto"/>
                  <w:jc w:val="center"/>
                  <w:rPr>
                    <w:sz w:val="20"/>
                    <w:szCs w:val="20"/>
                  </w:rPr>
                </w:pPr>
                <w:r>
                  <w:rPr>
                    <w:noProof/>
                    <w:sz w:val="20"/>
                    <w:szCs w:val="20"/>
                  </w:rPr>
                  <w:drawing>
                    <wp:inline distT="114300" distB="114300" distL="114300" distR="114300" wp14:anchorId="4553F791" wp14:editId="414D59B5">
                      <wp:extent cx="1704975" cy="965200"/>
                      <wp:effectExtent l="0" t="0" r="0" b="0"/>
                      <wp:docPr id="1388758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1704975" cy="965200"/>
                              </a:xfrm>
                              <a:prstGeom prst="rect">
                                <a:avLst/>
                              </a:prstGeom>
                              <a:ln/>
                            </pic:spPr>
                          </pic:pic>
                        </a:graphicData>
                      </a:graphic>
                    </wp:inline>
                  </w:drawing>
                </w:r>
              </w:p>
            </w:tc>
          </w:tr>
        </w:tbl>
      </w:sdtContent>
    </w:sdt>
    <w:p w14:paraId="0000013D" w14:textId="77777777" w:rsidR="009C64D3" w:rsidRDefault="009C64D3">
      <w:pPr>
        <w:spacing w:line="240" w:lineRule="auto"/>
        <w:jc w:val="both"/>
        <w:rPr>
          <w:sz w:val="20"/>
          <w:szCs w:val="20"/>
        </w:rPr>
      </w:pPr>
    </w:p>
    <w:p w14:paraId="0000013E" w14:textId="77777777" w:rsidR="009C64D3" w:rsidRDefault="00000000">
      <w:pPr>
        <w:spacing w:line="240" w:lineRule="auto"/>
        <w:jc w:val="both"/>
        <w:rPr>
          <w:sz w:val="20"/>
          <w:szCs w:val="20"/>
        </w:rPr>
      </w:pPr>
      <w:r>
        <w:rPr>
          <w:sz w:val="20"/>
          <w:szCs w:val="20"/>
        </w:rPr>
        <w:t>La integración de estas tecnologías amplía las posibilidades de captura, procesamiento, modelización y seguimiento de información geoespacial para apoyar la gestión de los sistemas agroforestales.</w:t>
      </w:r>
    </w:p>
    <w:p w14:paraId="0000013F" w14:textId="77777777" w:rsidR="009C64D3" w:rsidRDefault="009C64D3">
      <w:pPr>
        <w:spacing w:after="160"/>
        <w:jc w:val="both"/>
        <w:rPr>
          <w:sz w:val="20"/>
          <w:szCs w:val="20"/>
        </w:rPr>
      </w:pPr>
    </w:p>
    <w:p w14:paraId="00000140" w14:textId="77777777" w:rsidR="009C64D3" w:rsidRDefault="00000000">
      <w:pPr>
        <w:pStyle w:val="Ttulo2"/>
        <w:spacing w:after="160"/>
        <w:jc w:val="both"/>
        <w:rPr>
          <w:b/>
          <w:bCs/>
          <w:sz w:val="20"/>
          <w:szCs w:val="20"/>
        </w:rPr>
      </w:pPr>
      <w:bookmarkStart w:id="11" w:name="_heading=h.t2xsfi2kuy6g" w:colFirst="0" w:colLast="0"/>
      <w:bookmarkEnd w:id="11"/>
      <w:r>
        <w:rPr>
          <w:b/>
          <w:bCs/>
          <w:sz w:val="20"/>
          <w:szCs w:val="20"/>
        </w:rPr>
        <w:lastRenderedPageBreak/>
        <w:t>3. Índices de vegetación y monitoreo del dosel agroforestal</w:t>
      </w:r>
    </w:p>
    <w:p w14:paraId="00000141" w14:textId="77777777" w:rsidR="009C64D3" w:rsidRDefault="009C64D3">
      <w:pPr>
        <w:spacing w:line="240" w:lineRule="auto"/>
        <w:jc w:val="both"/>
        <w:rPr>
          <w:b/>
          <w:bCs/>
          <w:sz w:val="20"/>
          <w:szCs w:val="20"/>
        </w:rPr>
      </w:pPr>
    </w:p>
    <w:p w14:paraId="00000142" w14:textId="77777777" w:rsidR="009C64D3" w:rsidRDefault="009C64D3">
      <w:pPr>
        <w:spacing w:line="240" w:lineRule="auto"/>
        <w:jc w:val="both"/>
        <w:rPr>
          <w:b/>
          <w:bCs/>
          <w:sz w:val="20"/>
          <w:szCs w:val="20"/>
        </w:rPr>
      </w:pPr>
    </w:p>
    <w:sdt>
      <w:sdtPr>
        <w:tag w:val="goog_rdk_8"/>
        <w:id w:val="1740747347"/>
        <w:lock w:val="contentLocked"/>
      </w:sdtPr>
      <w:sdtContent>
        <w:tbl>
          <w:tblPr>
            <w:tblStyle w:val="afffffff2"/>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5"/>
            <w:gridCol w:w="4110"/>
          </w:tblGrid>
          <w:tr w:rsidR="009C64D3" w14:paraId="71D4D927" w14:textId="77777777">
            <w:tc>
              <w:tcPr>
                <w:tcW w:w="5805" w:type="dxa"/>
                <w:shd w:val="clear" w:color="auto" w:fill="E2EFD9"/>
              </w:tcPr>
              <w:p w14:paraId="00000143" w14:textId="77777777" w:rsidR="009C64D3" w:rsidRDefault="00000000">
                <w:pPr>
                  <w:spacing w:after="160" w:line="276" w:lineRule="auto"/>
                  <w:jc w:val="both"/>
                  <w:rPr>
                    <w:sz w:val="20"/>
                    <w:szCs w:val="20"/>
                  </w:rPr>
                </w:pPr>
                <w:r>
                  <w:rPr>
                    <w:sz w:val="20"/>
                    <w:szCs w:val="20"/>
                  </w:rPr>
                  <w:t>Los índices de vegetación son herramientas empleadas para medir, analizar y monitorear el estado, la densidad y la estructura del dosel en sistemas agroforestales mediante teledetección. Al combinar diferentes bandas espectrales, como el visible y el infrarrojo cercano, permiten obtener información sobre la actividad fotosintética y apoyar el análisis de coberturas donde interactúan árboles, cultivos y suelo (EOS Data Analytics, s. f.).</w:t>
                </w:r>
              </w:p>
            </w:tc>
            <w:tc>
              <w:tcPr>
                <w:tcW w:w="4110" w:type="dxa"/>
                <w:shd w:val="clear" w:color="auto" w:fill="E2EFD9"/>
              </w:tcPr>
              <w:p w14:paraId="00000144" w14:textId="77777777" w:rsidR="009C64D3" w:rsidRDefault="00000000">
                <w:pPr>
                  <w:jc w:val="center"/>
                  <w:rPr>
                    <w:b/>
                    <w:bCs/>
                    <w:sz w:val="20"/>
                    <w:szCs w:val="20"/>
                  </w:rPr>
                </w:pPr>
                <w:r>
                  <w:rPr>
                    <w:b/>
                    <w:bCs/>
                    <w:noProof/>
                    <w:sz w:val="20"/>
                    <w:szCs w:val="20"/>
                  </w:rPr>
                  <w:drawing>
                    <wp:inline distT="114300" distB="114300" distL="114300" distR="114300" wp14:anchorId="4F773B09" wp14:editId="2C20B0A5">
                      <wp:extent cx="2476500" cy="1384300"/>
                      <wp:effectExtent l="0" t="0" r="0" b="0"/>
                      <wp:docPr id="1388758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2476500" cy="1384300"/>
                              </a:xfrm>
                              <a:prstGeom prst="rect">
                                <a:avLst/>
                              </a:prstGeom>
                              <a:ln/>
                            </pic:spPr>
                          </pic:pic>
                        </a:graphicData>
                      </a:graphic>
                    </wp:inline>
                  </w:drawing>
                </w:r>
              </w:p>
            </w:tc>
          </w:tr>
        </w:tbl>
      </w:sdtContent>
    </w:sdt>
    <w:p w14:paraId="00000145" w14:textId="77777777" w:rsidR="009C64D3" w:rsidRDefault="009C64D3">
      <w:pPr>
        <w:spacing w:after="160"/>
        <w:jc w:val="both"/>
        <w:rPr>
          <w:sz w:val="20"/>
          <w:szCs w:val="20"/>
        </w:rPr>
      </w:pPr>
    </w:p>
    <w:p w14:paraId="00000146" w14:textId="77777777" w:rsidR="009C64D3" w:rsidRDefault="00000000">
      <w:pPr>
        <w:spacing w:after="160"/>
        <w:jc w:val="both"/>
        <w:rPr>
          <w:sz w:val="20"/>
          <w:szCs w:val="20"/>
        </w:rPr>
      </w:pPr>
      <w:r>
        <w:rPr>
          <w:sz w:val="20"/>
          <w:szCs w:val="20"/>
        </w:rPr>
        <w:t>El análisis cuantitativo de variables como la biomasa y el vigor de la vegetación puede realizarse mediante índices espectrales. Entre ellos, el Índice de Vegetación de Diferencia Normalizada (NDVI) es ampliamente utilizado para diferenciar coberturas vegetales densas y vigorosas de superficies con suelo expuesto o vegetación sometida a condiciones de estrés (Rouse et al., 1974).</w:t>
      </w:r>
    </w:p>
    <w:p w14:paraId="00000147" w14:textId="77777777" w:rsidR="009C64D3" w:rsidRDefault="009C64D3">
      <w:pPr>
        <w:spacing w:after="160"/>
        <w:jc w:val="both"/>
        <w:rPr>
          <w:b/>
          <w:bCs/>
          <w:sz w:val="20"/>
          <w:szCs w:val="20"/>
        </w:rPr>
      </w:pPr>
    </w:p>
    <w:p w14:paraId="00000148" w14:textId="77777777" w:rsidR="009C64D3" w:rsidRDefault="00000000">
      <w:pPr>
        <w:pStyle w:val="Ttulo2"/>
        <w:spacing w:after="160"/>
        <w:jc w:val="both"/>
        <w:rPr>
          <w:b/>
          <w:bCs/>
          <w:sz w:val="20"/>
          <w:szCs w:val="20"/>
        </w:rPr>
      </w:pPr>
      <w:bookmarkStart w:id="12" w:name="_heading=h.2dbbyd53dlzy" w:colFirst="0" w:colLast="0"/>
      <w:bookmarkEnd w:id="12"/>
      <w:r>
        <w:rPr>
          <w:b/>
          <w:bCs/>
          <w:sz w:val="20"/>
          <w:szCs w:val="20"/>
        </w:rPr>
        <w:t>3.1 Aplicación de los índices de vegetación en el monitoreo del dosel</w:t>
      </w:r>
    </w:p>
    <w:p w14:paraId="00000149" w14:textId="77777777" w:rsidR="009C64D3" w:rsidRDefault="009C64D3">
      <w:pPr>
        <w:spacing w:after="160"/>
        <w:jc w:val="both"/>
        <w:rPr>
          <w:b/>
          <w:bCs/>
          <w:sz w:val="20"/>
          <w:szCs w:val="20"/>
        </w:rPr>
      </w:pPr>
    </w:p>
    <w:p w14:paraId="0000014A" w14:textId="77777777" w:rsidR="009C64D3" w:rsidRDefault="00000000">
      <w:pPr>
        <w:spacing w:after="160"/>
        <w:jc w:val="both"/>
        <w:rPr>
          <w:sz w:val="20"/>
          <w:szCs w:val="20"/>
        </w:rPr>
      </w:pPr>
      <w:r>
        <w:rPr>
          <w:sz w:val="20"/>
          <w:szCs w:val="20"/>
        </w:rPr>
        <w:t>La integración de índices de vegetación con datos obtenidos mediante imágenes satelitales amplía las posibilidades de las soluciones digitales aplicadas a la agricultura. Estas herramientas permiten incorporar diferentes fuentes de información, realizar análisis sobre áreas extensas y facilitar el seguimiento remoto de las condiciones de la vegetación.</w:t>
      </w:r>
    </w:p>
    <w:p w14:paraId="0000014B" w14:textId="77777777" w:rsidR="009C64D3" w:rsidRDefault="009C64D3">
      <w:pPr>
        <w:spacing w:after="160"/>
        <w:jc w:val="both"/>
        <w:rPr>
          <w:sz w:val="20"/>
          <w:szCs w:val="20"/>
        </w:rPr>
      </w:pPr>
    </w:p>
    <w:p w14:paraId="0000014C" w14:textId="77777777" w:rsidR="009C64D3" w:rsidRDefault="00000000">
      <w:pPr>
        <w:spacing w:after="160"/>
        <w:jc w:val="both"/>
        <w:rPr>
          <w:sz w:val="20"/>
          <w:szCs w:val="20"/>
        </w:rPr>
      </w:pPr>
      <w:r>
        <w:rPr>
          <w:sz w:val="20"/>
          <w:szCs w:val="20"/>
        </w:rPr>
        <w:t>Los principales aportes de los índices de vegetación y de las imágenes satelitales a las soluciones digitales se presentan a continuación:</w:t>
      </w:r>
    </w:p>
    <w:p w14:paraId="0000014D" w14:textId="77777777" w:rsidR="009C64D3" w:rsidRDefault="009C64D3">
      <w:pPr>
        <w:spacing w:after="160"/>
        <w:jc w:val="both"/>
        <w:rPr>
          <w:sz w:val="20"/>
          <w:szCs w:val="20"/>
        </w:rPr>
      </w:pPr>
    </w:p>
    <w:p w14:paraId="0000014E" w14:textId="77777777" w:rsidR="009C64D3" w:rsidRDefault="009C64D3">
      <w:pPr>
        <w:spacing w:line="240" w:lineRule="auto"/>
        <w:jc w:val="both"/>
        <w:rPr>
          <w:sz w:val="20"/>
          <w:szCs w:val="20"/>
        </w:rPr>
      </w:pPr>
    </w:p>
    <w:sdt>
      <w:sdtPr>
        <w:tag w:val="goog_rdk_9"/>
        <w:id w:val="1467108157"/>
        <w:lock w:val="contentLocked"/>
      </w:sdtPr>
      <w:sdtContent>
        <w:tbl>
          <w:tblPr>
            <w:tblStyle w:val="afffffff3"/>
            <w:tblW w:w="988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85"/>
            <w:gridCol w:w="5400"/>
            <w:gridCol w:w="2700"/>
          </w:tblGrid>
          <w:tr w:rsidR="009C64D3" w14:paraId="0D9BAB0D" w14:textId="77777777">
            <w:trPr>
              <w:trHeight w:val="285"/>
            </w:trPr>
            <w:tc>
              <w:tcPr>
                <w:tcW w:w="988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14F" w14:textId="77777777" w:rsidR="009C64D3" w:rsidRDefault="00000000">
                <w:pPr>
                  <w:spacing w:line="240" w:lineRule="auto"/>
                  <w:jc w:val="center"/>
                  <w:rPr>
                    <w:rFonts w:ascii="Times New Roman" w:eastAsia="Times New Roman" w:hAnsi="Times New Roman" w:cs="Times New Roman"/>
                    <w:b/>
                    <w:bCs/>
                    <w:sz w:val="20"/>
                    <w:szCs w:val="20"/>
                  </w:rPr>
                </w:pPr>
                <w:r>
                  <w:rPr>
                    <w:b/>
                    <w:bCs/>
                    <w:sz w:val="20"/>
                    <w:szCs w:val="20"/>
                  </w:rPr>
                  <w:t>Slider</w:t>
                </w:r>
              </w:p>
            </w:tc>
          </w:tr>
          <w:tr w:rsidR="009C64D3" w14:paraId="27FDCB32"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52" w14:textId="77777777" w:rsidR="009C64D3" w:rsidRDefault="00000000">
                <w:pPr>
                  <w:spacing w:line="240" w:lineRule="auto"/>
                  <w:jc w:val="both"/>
                  <w:rPr>
                    <w:b/>
                    <w:bCs/>
                    <w:sz w:val="20"/>
                    <w:szCs w:val="20"/>
                  </w:rPr>
                </w:pPr>
                <w:r>
                  <w:rPr>
                    <w:b/>
                    <w:bCs/>
                    <w:sz w:val="20"/>
                    <w:szCs w:val="20"/>
                  </w:rPr>
                  <w:t>Capacidad de análisis</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53" w14:textId="77777777" w:rsidR="009C64D3" w:rsidRDefault="00000000">
                <w:pPr>
                  <w:spacing w:line="240" w:lineRule="auto"/>
                  <w:jc w:val="both"/>
                  <w:rPr>
                    <w:sz w:val="20"/>
                    <w:szCs w:val="20"/>
                  </w:rPr>
                </w:pPr>
                <w:r>
                  <w:rPr>
                    <w:sz w:val="20"/>
                    <w:szCs w:val="20"/>
                  </w:rPr>
                  <w:t>La incorporación de índices de vegetación permite ampliar las posibilidades de análisis de las aplicaciones agrícolas y generar información adicional sobre las condiciones de la cobertura vegetal.</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54" w14:textId="77777777" w:rsidR="009C64D3" w:rsidRDefault="00000000">
                <w:pPr>
                  <w:spacing w:line="240" w:lineRule="auto"/>
                  <w:jc w:val="center"/>
                  <w:rPr>
                    <w:sz w:val="20"/>
                    <w:szCs w:val="20"/>
                  </w:rPr>
                </w:pPr>
                <w:r>
                  <w:rPr>
                    <w:noProof/>
                    <w:sz w:val="20"/>
                    <w:szCs w:val="20"/>
                  </w:rPr>
                  <w:drawing>
                    <wp:inline distT="114300" distB="114300" distL="114300" distR="114300" wp14:anchorId="7D2584C0" wp14:editId="2362BFA6">
                      <wp:extent cx="1704975" cy="952500"/>
                      <wp:effectExtent l="0" t="0" r="0" b="0"/>
                      <wp:docPr id="1388758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1704975" cy="952500"/>
                              </a:xfrm>
                              <a:prstGeom prst="rect">
                                <a:avLst/>
                              </a:prstGeom>
                              <a:ln/>
                            </pic:spPr>
                          </pic:pic>
                        </a:graphicData>
                      </a:graphic>
                    </wp:inline>
                  </w:drawing>
                </w:r>
              </w:p>
            </w:tc>
          </w:tr>
          <w:tr w:rsidR="009C64D3" w14:paraId="4E68FCDA"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55" w14:textId="77777777" w:rsidR="009C64D3" w:rsidRDefault="00000000">
                <w:pPr>
                  <w:spacing w:line="240" w:lineRule="auto"/>
                  <w:jc w:val="both"/>
                  <w:rPr>
                    <w:b/>
                    <w:bCs/>
                    <w:sz w:val="20"/>
                    <w:szCs w:val="20"/>
                  </w:rPr>
                </w:pPr>
                <w:r>
                  <w:rPr>
                    <w:b/>
                    <w:bCs/>
                    <w:sz w:val="20"/>
                    <w:szCs w:val="20"/>
                  </w:rPr>
                  <w:t>Integración de fuentes de información</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56" w14:textId="77777777" w:rsidR="009C64D3" w:rsidRDefault="00000000">
                <w:pPr>
                  <w:spacing w:line="240" w:lineRule="auto"/>
                  <w:jc w:val="both"/>
                  <w:rPr>
                    <w:sz w:val="20"/>
                    <w:szCs w:val="20"/>
                  </w:rPr>
                </w:pPr>
                <w:r>
                  <w:rPr>
                    <w:sz w:val="20"/>
                    <w:szCs w:val="20"/>
                  </w:rPr>
                  <w:t>Las soluciones digitales pueden reunir diferentes fuentes de imágenes en un mismo entorno, lo que facilita el acceso y procesamiento de información para el análisis de la vegetación.</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57" w14:textId="77777777" w:rsidR="009C64D3" w:rsidRDefault="00000000">
                <w:pPr>
                  <w:spacing w:line="240" w:lineRule="auto"/>
                  <w:jc w:val="center"/>
                  <w:rPr>
                    <w:sz w:val="20"/>
                    <w:szCs w:val="20"/>
                  </w:rPr>
                </w:pPr>
                <w:r>
                  <w:rPr>
                    <w:noProof/>
                    <w:sz w:val="20"/>
                    <w:szCs w:val="20"/>
                  </w:rPr>
                  <w:drawing>
                    <wp:inline distT="114300" distB="114300" distL="114300" distR="114300" wp14:anchorId="1E5F0D90" wp14:editId="3F980103">
                      <wp:extent cx="1704975" cy="952500"/>
                      <wp:effectExtent l="0" t="0" r="0" b="0"/>
                      <wp:docPr id="1388758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1704975" cy="952500"/>
                              </a:xfrm>
                              <a:prstGeom prst="rect">
                                <a:avLst/>
                              </a:prstGeom>
                              <a:ln/>
                            </pic:spPr>
                          </pic:pic>
                        </a:graphicData>
                      </a:graphic>
                    </wp:inline>
                  </w:drawing>
                </w:r>
              </w:p>
            </w:tc>
          </w:tr>
          <w:tr w:rsidR="009C64D3" w14:paraId="2CB9202C"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58" w14:textId="77777777" w:rsidR="009C64D3" w:rsidRDefault="00000000">
                <w:pPr>
                  <w:spacing w:line="240" w:lineRule="auto"/>
                  <w:jc w:val="both"/>
                  <w:rPr>
                    <w:b/>
                    <w:bCs/>
                    <w:sz w:val="20"/>
                    <w:szCs w:val="20"/>
                  </w:rPr>
                </w:pPr>
                <w:r>
                  <w:rPr>
                    <w:b/>
                    <w:bCs/>
                    <w:sz w:val="20"/>
                    <w:szCs w:val="20"/>
                  </w:rPr>
                  <w:lastRenderedPageBreak/>
                  <w:t>Cobertura territorial</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59" w14:textId="77777777" w:rsidR="009C64D3" w:rsidRDefault="00000000">
                <w:pPr>
                  <w:spacing w:line="240" w:lineRule="auto"/>
                  <w:jc w:val="both"/>
                  <w:rPr>
                    <w:sz w:val="20"/>
                    <w:szCs w:val="20"/>
                  </w:rPr>
                </w:pPr>
                <w:r>
                  <w:rPr>
                    <w:sz w:val="20"/>
                    <w:szCs w:val="20"/>
                  </w:rPr>
                  <w:t>Las imágenes satelitales permiten analizar superficies más extensas que las obtenidas mediante algunos sistemas de captura aérea y facilitan el seguimiento periódico de las áreas productivas.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5A" w14:textId="77777777" w:rsidR="009C64D3" w:rsidRDefault="00000000">
                <w:pPr>
                  <w:spacing w:line="240" w:lineRule="auto"/>
                  <w:jc w:val="center"/>
                  <w:rPr>
                    <w:sz w:val="20"/>
                    <w:szCs w:val="20"/>
                  </w:rPr>
                </w:pPr>
                <w:r>
                  <w:rPr>
                    <w:noProof/>
                    <w:sz w:val="20"/>
                    <w:szCs w:val="20"/>
                  </w:rPr>
                  <w:drawing>
                    <wp:inline distT="114300" distB="114300" distL="114300" distR="114300" wp14:anchorId="456BB6AB" wp14:editId="504B8B26">
                      <wp:extent cx="1704975" cy="952500"/>
                      <wp:effectExtent l="0" t="0" r="0" b="0"/>
                      <wp:docPr id="13887581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1704975" cy="952500"/>
                              </a:xfrm>
                              <a:prstGeom prst="rect">
                                <a:avLst/>
                              </a:prstGeom>
                              <a:ln/>
                            </pic:spPr>
                          </pic:pic>
                        </a:graphicData>
                      </a:graphic>
                    </wp:inline>
                  </w:drawing>
                </w:r>
              </w:p>
            </w:tc>
          </w:tr>
          <w:tr w:rsidR="009C64D3" w14:paraId="5513FDD1"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5B" w14:textId="77777777" w:rsidR="009C64D3" w:rsidRDefault="00000000">
                <w:pPr>
                  <w:spacing w:line="240" w:lineRule="auto"/>
                  <w:jc w:val="both"/>
                  <w:rPr>
                    <w:b/>
                    <w:bCs/>
                    <w:sz w:val="20"/>
                    <w:szCs w:val="20"/>
                  </w:rPr>
                </w:pPr>
                <w:r>
                  <w:rPr>
                    <w:b/>
                    <w:bCs/>
                    <w:sz w:val="20"/>
                    <w:szCs w:val="20"/>
                  </w:rPr>
                  <w:t>Optimización de recursos</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5C" w14:textId="77777777" w:rsidR="009C64D3" w:rsidRDefault="00000000">
                <w:pPr>
                  <w:spacing w:line="240" w:lineRule="auto"/>
                  <w:jc w:val="both"/>
                  <w:rPr>
                    <w:sz w:val="20"/>
                    <w:szCs w:val="20"/>
                  </w:rPr>
                </w:pPr>
                <w:r>
                  <w:rPr>
                    <w:sz w:val="20"/>
                    <w:szCs w:val="20"/>
                  </w:rPr>
                  <w:t>El uso de información satelital puede reducir la necesidad de realizar vuelos frecuentes con drones y disminuir los recursos destinados al procesamiento, interpretación e inspección completa del terreno.</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5D" w14:textId="77777777" w:rsidR="009C64D3" w:rsidRDefault="00000000">
                <w:pPr>
                  <w:spacing w:line="240" w:lineRule="auto"/>
                  <w:jc w:val="center"/>
                  <w:rPr>
                    <w:sz w:val="20"/>
                    <w:szCs w:val="20"/>
                  </w:rPr>
                </w:pPr>
                <w:r>
                  <w:rPr>
                    <w:noProof/>
                    <w:sz w:val="20"/>
                    <w:szCs w:val="20"/>
                  </w:rPr>
                  <w:drawing>
                    <wp:inline distT="114300" distB="114300" distL="114300" distR="114300" wp14:anchorId="7D260026" wp14:editId="35E0BFB8">
                      <wp:extent cx="1704975" cy="952500"/>
                      <wp:effectExtent l="0" t="0" r="0" b="0"/>
                      <wp:docPr id="1388758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1704975" cy="952500"/>
                              </a:xfrm>
                              <a:prstGeom prst="rect">
                                <a:avLst/>
                              </a:prstGeom>
                              <a:ln/>
                            </pic:spPr>
                          </pic:pic>
                        </a:graphicData>
                      </a:graphic>
                    </wp:inline>
                  </w:drawing>
                </w:r>
              </w:p>
            </w:tc>
          </w:tr>
          <w:tr w:rsidR="009C64D3" w14:paraId="7AFD1FDA"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5E" w14:textId="77777777" w:rsidR="009C64D3" w:rsidRDefault="00000000">
                <w:pPr>
                  <w:spacing w:line="240" w:lineRule="auto"/>
                  <w:jc w:val="both"/>
                  <w:rPr>
                    <w:b/>
                    <w:bCs/>
                    <w:sz w:val="20"/>
                    <w:szCs w:val="20"/>
                  </w:rPr>
                </w:pPr>
                <w:r>
                  <w:rPr>
                    <w:b/>
                    <w:bCs/>
                    <w:sz w:val="20"/>
                    <w:szCs w:val="20"/>
                  </w:rPr>
                  <w:t>Seguimiento focalizado</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5F" w14:textId="77777777" w:rsidR="009C64D3" w:rsidRDefault="00000000">
                <w:pPr>
                  <w:spacing w:line="240" w:lineRule="auto"/>
                  <w:jc w:val="both"/>
                  <w:rPr>
                    <w:sz w:val="20"/>
                    <w:szCs w:val="20"/>
                  </w:rPr>
                </w:pPr>
                <w:r>
                  <w:rPr>
                    <w:sz w:val="20"/>
                    <w:szCs w:val="20"/>
                  </w:rPr>
                  <w:t>El análisis remoto permite identificar zonas que requieren mayor atención, de manera que las verificaciones en campo pueden concentrarse en los sectores donde se detecten cambios o condiciones particulares.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60" w14:textId="77777777" w:rsidR="009C64D3" w:rsidRDefault="00000000">
                <w:pPr>
                  <w:spacing w:line="240" w:lineRule="auto"/>
                  <w:jc w:val="center"/>
                  <w:rPr>
                    <w:sz w:val="20"/>
                    <w:szCs w:val="20"/>
                  </w:rPr>
                </w:pPr>
                <w:r>
                  <w:rPr>
                    <w:noProof/>
                    <w:sz w:val="20"/>
                    <w:szCs w:val="20"/>
                  </w:rPr>
                  <w:drawing>
                    <wp:inline distT="114300" distB="114300" distL="114300" distR="114300" wp14:anchorId="0A27D0BC" wp14:editId="347F7C70">
                      <wp:extent cx="1704975" cy="952500"/>
                      <wp:effectExtent l="0" t="0" r="0" b="0"/>
                      <wp:docPr id="1388758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1704975" cy="952500"/>
                              </a:xfrm>
                              <a:prstGeom prst="rect">
                                <a:avLst/>
                              </a:prstGeom>
                              <a:ln/>
                            </pic:spPr>
                          </pic:pic>
                        </a:graphicData>
                      </a:graphic>
                    </wp:inline>
                  </w:drawing>
                </w:r>
              </w:p>
            </w:tc>
          </w:tr>
        </w:tbl>
      </w:sdtContent>
    </w:sdt>
    <w:p w14:paraId="00000161" w14:textId="77777777" w:rsidR="009C64D3" w:rsidRDefault="009C64D3">
      <w:pPr>
        <w:spacing w:line="240" w:lineRule="auto"/>
        <w:jc w:val="both"/>
        <w:rPr>
          <w:sz w:val="20"/>
          <w:szCs w:val="20"/>
        </w:rPr>
      </w:pPr>
    </w:p>
    <w:p w14:paraId="00000162" w14:textId="77777777" w:rsidR="009C64D3" w:rsidRDefault="00000000">
      <w:pPr>
        <w:spacing w:line="240" w:lineRule="auto"/>
        <w:jc w:val="both"/>
        <w:rPr>
          <w:sz w:val="20"/>
          <w:szCs w:val="20"/>
        </w:rPr>
      </w:pPr>
      <w:r>
        <w:rPr>
          <w:sz w:val="20"/>
          <w:szCs w:val="20"/>
        </w:rPr>
        <w:t>Las imágenes satelitales también permiten ampliar la disponibilidad de información para los sistemas de análisis agrícola y acceder a datos con mayor frecuencia, lo que contribuye a optimizar tiempo y recursos durante el seguimiento de la vegetación.</w:t>
      </w:r>
    </w:p>
    <w:p w14:paraId="00000163" w14:textId="77777777" w:rsidR="009C64D3" w:rsidRDefault="009C64D3">
      <w:pPr>
        <w:spacing w:line="240" w:lineRule="auto"/>
        <w:jc w:val="both"/>
        <w:rPr>
          <w:sz w:val="20"/>
          <w:szCs w:val="20"/>
        </w:rPr>
      </w:pPr>
    </w:p>
    <w:p w14:paraId="00000164" w14:textId="77777777" w:rsidR="009C64D3" w:rsidRDefault="00000000">
      <w:pPr>
        <w:spacing w:line="240" w:lineRule="auto"/>
        <w:jc w:val="both"/>
        <w:rPr>
          <w:sz w:val="20"/>
          <w:szCs w:val="20"/>
        </w:rPr>
      </w:pPr>
      <w:r>
        <w:rPr>
          <w:sz w:val="20"/>
          <w:szCs w:val="20"/>
        </w:rPr>
        <w:t>En los sistemas agroforestales, el monitoreo del dosel permite analizar diferentes variables relacionadas con la estructura y las condiciones de la vegetación:</w:t>
      </w:r>
    </w:p>
    <w:p w14:paraId="00000165" w14:textId="77777777" w:rsidR="009C64D3" w:rsidRDefault="009C64D3">
      <w:pPr>
        <w:spacing w:line="240" w:lineRule="auto"/>
        <w:jc w:val="both"/>
        <w:rPr>
          <w:sz w:val="20"/>
          <w:szCs w:val="20"/>
        </w:rPr>
      </w:pPr>
    </w:p>
    <w:p w14:paraId="00000166" w14:textId="77777777" w:rsidR="009C64D3" w:rsidRDefault="009C64D3">
      <w:pPr>
        <w:spacing w:line="240" w:lineRule="auto"/>
        <w:jc w:val="both"/>
        <w:rPr>
          <w:sz w:val="20"/>
          <w:szCs w:val="20"/>
        </w:rPr>
      </w:pPr>
    </w:p>
    <w:sdt>
      <w:sdtPr>
        <w:tag w:val="goog_rdk_10"/>
        <w:id w:val="-1688080670"/>
        <w:lock w:val="contentLocked"/>
      </w:sdtPr>
      <w:sdtContent>
        <w:tbl>
          <w:tblPr>
            <w:tblStyle w:val="afffffff4"/>
            <w:tblW w:w="988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85"/>
            <w:gridCol w:w="5400"/>
            <w:gridCol w:w="2700"/>
          </w:tblGrid>
          <w:tr w:rsidR="009C64D3" w14:paraId="5BBBE1BC" w14:textId="77777777">
            <w:trPr>
              <w:trHeight w:val="285"/>
            </w:trPr>
            <w:tc>
              <w:tcPr>
                <w:tcW w:w="988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167" w14:textId="77777777" w:rsidR="009C64D3" w:rsidRDefault="00000000">
                <w:pPr>
                  <w:spacing w:line="240" w:lineRule="auto"/>
                  <w:jc w:val="center"/>
                  <w:rPr>
                    <w:rFonts w:ascii="Times New Roman" w:eastAsia="Times New Roman" w:hAnsi="Times New Roman" w:cs="Times New Roman"/>
                    <w:b/>
                    <w:bCs/>
                    <w:sz w:val="20"/>
                    <w:szCs w:val="20"/>
                  </w:rPr>
                </w:pPr>
                <w:r>
                  <w:rPr>
                    <w:b/>
                    <w:bCs/>
                    <w:sz w:val="20"/>
                    <w:szCs w:val="20"/>
                  </w:rPr>
                  <w:t>Pestañas</w:t>
                </w:r>
              </w:p>
            </w:tc>
          </w:tr>
          <w:tr w:rsidR="009C64D3" w14:paraId="51CFC695"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6A" w14:textId="77777777" w:rsidR="009C64D3" w:rsidRDefault="00000000">
                <w:pPr>
                  <w:spacing w:line="240" w:lineRule="auto"/>
                  <w:jc w:val="both"/>
                  <w:rPr>
                    <w:b/>
                    <w:bCs/>
                    <w:sz w:val="20"/>
                    <w:szCs w:val="20"/>
                  </w:rPr>
                </w:pPr>
                <w:r>
                  <w:rPr>
                    <w:b/>
                    <w:bCs/>
                    <w:sz w:val="20"/>
                    <w:szCs w:val="20"/>
                  </w:rPr>
                  <w:t>Intercepción de luz y dinámica de sombra</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6B" w14:textId="77777777" w:rsidR="009C64D3" w:rsidRDefault="00000000">
                <w:pPr>
                  <w:spacing w:line="240" w:lineRule="auto"/>
                  <w:jc w:val="both"/>
                  <w:rPr>
                    <w:sz w:val="20"/>
                    <w:szCs w:val="20"/>
                  </w:rPr>
                </w:pPr>
                <w:r>
                  <w:rPr>
                    <w:sz w:val="20"/>
                    <w:szCs w:val="20"/>
                  </w:rPr>
                  <w:t>El análisis de la cobertura vegetal permite estudiar la cantidad de luz que reciben los cultivos ubicados bajo el estrato arbóreo. En sistemas agroforestales como café o cacao bajo sombra, esta información puede apoyar la programación de podas reguladoras.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6C" w14:textId="77777777" w:rsidR="009C64D3" w:rsidRDefault="00000000">
                <w:pPr>
                  <w:spacing w:line="240" w:lineRule="auto"/>
                  <w:jc w:val="center"/>
                  <w:rPr>
                    <w:sz w:val="20"/>
                    <w:szCs w:val="20"/>
                  </w:rPr>
                </w:pPr>
                <w:r>
                  <w:rPr>
                    <w:noProof/>
                    <w:sz w:val="20"/>
                    <w:szCs w:val="20"/>
                  </w:rPr>
                  <w:drawing>
                    <wp:inline distT="114300" distB="114300" distL="114300" distR="114300" wp14:anchorId="19D59AC0" wp14:editId="329E64DC">
                      <wp:extent cx="1704975" cy="952500"/>
                      <wp:effectExtent l="0" t="0" r="0" b="0"/>
                      <wp:docPr id="1388758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1704975" cy="952500"/>
                              </a:xfrm>
                              <a:prstGeom prst="rect">
                                <a:avLst/>
                              </a:prstGeom>
                              <a:ln/>
                            </pic:spPr>
                          </pic:pic>
                        </a:graphicData>
                      </a:graphic>
                    </wp:inline>
                  </w:drawing>
                </w:r>
              </w:p>
            </w:tc>
          </w:tr>
          <w:tr w:rsidR="009C64D3" w14:paraId="2B022170"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6D" w14:textId="77777777" w:rsidR="009C64D3" w:rsidRDefault="00000000">
                <w:pPr>
                  <w:spacing w:line="240" w:lineRule="auto"/>
                  <w:jc w:val="both"/>
                  <w:rPr>
                    <w:b/>
                    <w:bCs/>
                    <w:sz w:val="20"/>
                    <w:szCs w:val="20"/>
                  </w:rPr>
                </w:pPr>
                <w:r>
                  <w:rPr>
                    <w:b/>
                    <w:bCs/>
                    <w:sz w:val="20"/>
                    <w:szCs w:val="20"/>
                  </w:rPr>
                  <w:t>Índice de área foliar</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6E" w14:textId="77777777" w:rsidR="009C64D3" w:rsidRDefault="00000000">
                <w:pPr>
                  <w:spacing w:line="240" w:lineRule="auto"/>
                  <w:jc w:val="both"/>
                  <w:rPr>
                    <w:sz w:val="20"/>
                    <w:szCs w:val="20"/>
                  </w:rPr>
                </w:pPr>
                <w:r>
                  <w:rPr>
                    <w:sz w:val="20"/>
                    <w:szCs w:val="20"/>
                  </w:rPr>
                  <w:t>El Índice de Área Foliar (LAI) representa la cantidad de superficie foliar presente por unidad de superficie del suelo y permite obtener información relacionada con la densidad del dosel forestal.</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6F" w14:textId="77777777" w:rsidR="009C64D3" w:rsidRDefault="00000000">
                <w:pPr>
                  <w:spacing w:line="240" w:lineRule="auto"/>
                  <w:jc w:val="center"/>
                  <w:rPr>
                    <w:sz w:val="20"/>
                    <w:szCs w:val="20"/>
                  </w:rPr>
                </w:pPr>
                <w:r>
                  <w:rPr>
                    <w:noProof/>
                    <w:sz w:val="20"/>
                    <w:szCs w:val="20"/>
                  </w:rPr>
                  <w:drawing>
                    <wp:inline distT="114300" distB="114300" distL="114300" distR="114300" wp14:anchorId="01900CBD" wp14:editId="0E4566B6">
                      <wp:extent cx="1704975" cy="965200"/>
                      <wp:effectExtent l="0" t="0" r="0" b="0"/>
                      <wp:docPr id="13887581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6"/>
                              <a:srcRect/>
                              <a:stretch>
                                <a:fillRect/>
                              </a:stretch>
                            </pic:blipFill>
                            <pic:spPr>
                              <a:xfrm>
                                <a:off x="0" y="0"/>
                                <a:ext cx="1704975" cy="965200"/>
                              </a:xfrm>
                              <a:prstGeom prst="rect">
                                <a:avLst/>
                              </a:prstGeom>
                              <a:ln/>
                            </pic:spPr>
                          </pic:pic>
                        </a:graphicData>
                      </a:graphic>
                    </wp:inline>
                  </w:drawing>
                </w:r>
              </w:p>
            </w:tc>
          </w:tr>
          <w:tr w:rsidR="009C64D3" w14:paraId="0BC9A154"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70" w14:textId="77777777" w:rsidR="009C64D3" w:rsidRDefault="00000000">
                <w:pPr>
                  <w:spacing w:line="240" w:lineRule="auto"/>
                  <w:jc w:val="both"/>
                  <w:rPr>
                    <w:b/>
                    <w:bCs/>
                    <w:sz w:val="20"/>
                    <w:szCs w:val="20"/>
                  </w:rPr>
                </w:pPr>
                <w:r>
                  <w:rPr>
                    <w:b/>
                    <w:bCs/>
                    <w:sz w:val="20"/>
                    <w:szCs w:val="20"/>
                  </w:rPr>
                  <w:t>Estrés hídrico y nutricional</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71" w14:textId="77777777" w:rsidR="009C64D3" w:rsidRDefault="00000000">
                <w:pPr>
                  <w:spacing w:line="240" w:lineRule="auto"/>
                  <w:jc w:val="both"/>
                  <w:rPr>
                    <w:sz w:val="20"/>
                    <w:szCs w:val="20"/>
                  </w:rPr>
                </w:pPr>
                <w:r>
                  <w:rPr>
                    <w:sz w:val="20"/>
                    <w:szCs w:val="20"/>
                  </w:rPr>
                  <w:t>El procesamiento de imágenes multiespectrales o térmicas permite identificar variaciones en la respuesta espectral de la vegetación relacionadas con condiciones de estrés hídrico o nutricional.</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72" w14:textId="77777777" w:rsidR="009C64D3" w:rsidRDefault="00000000">
                <w:pPr>
                  <w:spacing w:line="240" w:lineRule="auto"/>
                  <w:jc w:val="center"/>
                  <w:rPr>
                    <w:sz w:val="20"/>
                    <w:szCs w:val="20"/>
                  </w:rPr>
                </w:pPr>
                <w:r>
                  <w:rPr>
                    <w:noProof/>
                    <w:sz w:val="20"/>
                    <w:szCs w:val="20"/>
                  </w:rPr>
                  <w:drawing>
                    <wp:inline distT="114300" distB="114300" distL="114300" distR="114300" wp14:anchorId="17820280" wp14:editId="71A6B82F">
                      <wp:extent cx="1704975" cy="927100"/>
                      <wp:effectExtent l="0" t="0" r="0" b="0"/>
                      <wp:docPr id="13887580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7"/>
                              <a:srcRect/>
                              <a:stretch>
                                <a:fillRect/>
                              </a:stretch>
                            </pic:blipFill>
                            <pic:spPr>
                              <a:xfrm>
                                <a:off x="0" y="0"/>
                                <a:ext cx="1704975" cy="927100"/>
                              </a:xfrm>
                              <a:prstGeom prst="rect">
                                <a:avLst/>
                              </a:prstGeom>
                              <a:ln/>
                            </pic:spPr>
                          </pic:pic>
                        </a:graphicData>
                      </a:graphic>
                    </wp:inline>
                  </w:drawing>
                </w:r>
              </w:p>
            </w:tc>
          </w:tr>
          <w:tr w:rsidR="009C64D3" w14:paraId="513ECC9C"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73" w14:textId="77777777" w:rsidR="009C64D3" w:rsidRDefault="00000000">
                <w:pPr>
                  <w:spacing w:line="240" w:lineRule="auto"/>
                  <w:jc w:val="both"/>
                  <w:rPr>
                    <w:b/>
                    <w:bCs/>
                    <w:sz w:val="20"/>
                    <w:szCs w:val="20"/>
                  </w:rPr>
                </w:pPr>
                <w:r>
                  <w:rPr>
                    <w:b/>
                    <w:bCs/>
                    <w:sz w:val="20"/>
                    <w:szCs w:val="20"/>
                  </w:rPr>
                  <w:t>Monitoreo multitemporal</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74" w14:textId="77777777" w:rsidR="009C64D3" w:rsidRDefault="00000000">
                <w:pPr>
                  <w:spacing w:line="240" w:lineRule="auto"/>
                  <w:jc w:val="both"/>
                  <w:rPr>
                    <w:sz w:val="20"/>
                    <w:szCs w:val="20"/>
                  </w:rPr>
                </w:pPr>
                <w:r>
                  <w:rPr>
                    <w:sz w:val="20"/>
                    <w:szCs w:val="20"/>
                  </w:rPr>
                  <w:t>La comparación de imágenes adquiridas en diferentes momentos permite analizar cambios en las copas de los árboles entre periodos secos y lluviosos, así como realizar seguimiento a la respuesta de la vegetación frente a diferentes condiciones ambientales.</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75" w14:textId="77777777" w:rsidR="009C64D3" w:rsidRDefault="00000000">
                <w:pPr>
                  <w:spacing w:line="240" w:lineRule="auto"/>
                  <w:jc w:val="center"/>
                  <w:rPr>
                    <w:sz w:val="20"/>
                    <w:szCs w:val="20"/>
                  </w:rPr>
                </w:pPr>
                <w:r>
                  <w:rPr>
                    <w:noProof/>
                    <w:sz w:val="20"/>
                    <w:szCs w:val="20"/>
                  </w:rPr>
                  <w:drawing>
                    <wp:inline distT="114300" distB="114300" distL="114300" distR="114300" wp14:anchorId="23F4D6CE" wp14:editId="02E151F7">
                      <wp:extent cx="1704975" cy="736600"/>
                      <wp:effectExtent l="0" t="0" r="0" b="0"/>
                      <wp:docPr id="13887580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1704975" cy="736600"/>
                              </a:xfrm>
                              <a:prstGeom prst="rect">
                                <a:avLst/>
                              </a:prstGeom>
                              <a:ln/>
                            </pic:spPr>
                          </pic:pic>
                        </a:graphicData>
                      </a:graphic>
                    </wp:inline>
                  </w:drawing>
                </w:r>
              </w:p>
            </w:tc>
          </w:tr>
        </w:tbl>
      </w:sdtContent>
    </w:sdt>
    <w:p w14:paraId="00000176" w14:textId="77777777" w:rsidR="009C64D3" w:rsidRDefault="009C64D3">
      <w:pPr>
        <w:spacing w:line="240" w:lineRule="auto"/>
        <w:jc w:val="both"/>
        <w:rPr>
          <w:sz w:val="20"/>
          <w:szCs w:val="20"/>
        </w:rPr>
      </w:pPr>
    </w:p>
    <w:p w14:paraId="00000177" w14:textId="77777777" w:rsidR="009C64D3" w:rsidRDefault="00000000">
      <w:pPr>
        <w:pStyle w:val="Ttulo3"/>
        <w:keepNext w:val="0"/>
        <w:keepLines w:val="0"/>
        <w:spacing w:before="280"/>
        <w:jc w:val="both"/>
        <w:rPr>
          <w:b/>
          <w:bCs/>
          <w:color w:val="000000"/>
          <w:sz w:val="20"/>
          <w:szCs w:val="20"/>
        </w:rPr>
      </w:pPr>
      <w:bookmarkStart w:id="13" w:name="_heading=h.69fm9tjyk3sl" w:colFirst="0" w:colLast="0"/>
      <w:bookmarkEnd w:id="13"/>
      <w:r>
        <w:rPr>
          <w:b/>
          <w:bCs/>
          <w:color w:val="000000"/>
          <w:sz w:val="20"/>
          <w:szCs w:val="20"/>
        </w:rPr>
        <w:lastRenderedPageBreak/>
        <w:t>3.1.1 Índice de vegetación de diferencia normalizada (NDVI)</w:t>
      </w:r>
    </w:p>
    <w:p w14:paraId="00000178" w14:textId="77777777" w:rsidR="009C64D3" w:rsidRDefault="00000000">
      <w:pPr>
        <w:spacing w:before="240" w:after="240"/>
        <w:jc w:val="both"/>
        <w:rPr>
          <w:sz w:val="20"/>
          <w:szCs w:val="20"/>
        </w:rPr>
      </w:pPr>
      <w:r>
        <w:rPr>
          <w:sz w:val="20"/>
          <w:szCs w:val="20"/>
        </w:rPr>
        <w:t>El Índice de Vegetación de Diferencia Normalizada (NDVI) utiliza el comportamiento espectral de la vegetación para diferenciar distintas condiciones de cobertura. Las hojas con actividad fotosintética absorben radiación en la banda roja y reflejan una proporción elevada de radiación en el infrarrojo cercano (Rouse et al., 1974).</w:t>
      </w:r>
    </w:p>
    <w:p w14:paraId="00000179" w14:textId="77777777" w:rsidR="009C64D3" w:rsidRDefault="00000000">
      <w:pPr>
        <w:spacing w:before="240" w:after="240"/>
        <w:jc w:val="both"/>
        <w:rPr>
          <w:sz w:val="20"/>
          <w:szCs w:val="20"/>
        </w:rPr>
      </w:pPr>
      <w:r>
        <w:rPr>
          <w:sz w:val="20"/>
          <w:szCs w:val="20"/>
        </w:rPr>
        <w:t>Su cálculo se expresa mediante la siguiente fórmula:</w:t>
      </w:r>
    </w:p>
    <w:tbl>
      <w:tblPr>
        <w:tblStyle w:val="afffffff5"/>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9C64D3" w14:paraId="713C663E" w14:textId="77777777">
        <w:tc>
          <w:tcPr>
            <w:tcW w:w="9972" w:type="dxa"/>
            <w:shd w:val="clear" w:color="auto" w:fill="FFE599"/>
            <w:tcMar>
              <w:top w:w="100" w:type="dxa"/>
              <w:left w:w="100" w:type="dxa"/>
              <w:bottom w:w="100" w:type="dxa"/>
              <w:right w:w="100" w:type="dxa"/>
            </w:tcMar>
          </w:tcPr>
          <w:sdt>
            <w:sdtPr>
              <w:tag w:val="goog_rdk_11"/>
              <w:id w:val="668416105"/>
              <w:lock w:val="contentLocked"/>
            </w:sdtPr>
            <w:sdtContent>
              <w:p w14:paraId="0000017A" w14:textId="77777777" w:rsidR="009C64D3" w:rsidRDefault="00000000">
                <w:pPr>
                  <w:widowControl w:val="0"/>
                  <w:pBdr>
                    <w:top w:val="nil"/>
                    <w:left w:val="nil"/>
                    <w:bottom w:val="nil"/>
                    <w:right w:val="nil"/>
                    <w:between w:val="nil"/>
                  </w:pBdr>
                  <w:spacing w:line="240" w:lineRule="auto"/>
                  <w:jc w:val="center"/>
                  <w:rPr>
                    <w:b/>
                    <w:bCs/>
                    <w:sz w:val="20"/>
                    <w:szCs w:val="20"/>
                  </w:rPr>
                </w:pPr>
                <w:r>
                  <w:rPr>
                    <w:b/>
                    <w:bCs/>
                    <w:sz w:val="20"/>
                    <w:szCs w:val="20"/>
                  </w:rPr>
                  <w:t>NDVI = (NIR – ROJO) / (NIR + ROJO)</w:t>
                </w:r>
              </w:p>
            </w:sdtContent>
          </w:sdt>
        </w:tc>
      </w:tr>
    </w:tbl>
    <w:p w14:paraId="0000017B" w14:textId="77777777" w:rsidR="009C64D3" w:rsidRDefault="00000000">
      <w:pPr>
        <w:spacing w:before="240" w:after="240"/>
        <w:jc w:val="both"/>
        <w:rPr>
          <w:sz w:val="20"/>
          <w:szCs w:val="20"/>
        </w:rPr>
      </w:pPr>
      <w:sdt>
        <w:sdtPr>
          <w:tag w:val="goog_rdk_12"/>
          <w:id w:val="1315888145"/>
        </w:sdtPr>
        <w:sdtContent>
          <w:r>
            <w:rPr>
              <w:rFonts w:ascii="Arial Unicode MS" w:eastAsia="Arial Unicode MS" w:hAnsi="Arial Unicode MS" w:cs="Arial Unicode MS"/>
              <w:sz w:val="20"/>
              <w:szCs w:val="20"/>
            </w:rPr>
            <w:t>Los valores obtenidos se encuentran entre −1 y +1. Los valores positivos elevados se relacionan con coberturas vegetales más densas, mientras que los valores menores corresponden a coberturas vegetales reducidas u otras superficies.</w:t>
          </w:r>
        </w:sdtContent>
      </w:sdt>
    </w:p>
    <w:p w14:paraId="0000017C" w14:textId="77777777" w:rsidR="009C64D3" w:rsidRDefault="00000000">
      <w:pPr>
        <w:spacing w:before="240" w:after="240"/>
        <w:jc w:val="both"/>
        <w:rPr>
          <w:sz w:val="20"/>
          <w:szCs w:val="20"/>
        </w:rPr>
      </w:pPr>
      <w:r>
        <w:rPr>
          <w:sz w:val="20"/>
          <w:szCs w:val="20"/>
        </w:rPr>
        <w:t>La interpretación general de los valores obtenidos mediante el NDVI se presenta a continuación:</w:t>
      </w:r>
    </w:p>
    <w:p w14:paraId="0000017D" w14:textId="77777777" w:rsidR="009C64D3" w:rsidRDefault="00000000">
      <w:pPr>
        <w:spacing w:before="240" w:after="240"/>
        <w:jc w:val="both"/>
        <w:rPr>
          <w:sz w:val="20"/>
          <w:szCs w:val="20"/>
        </w:rPr>
      </w:pPr>
      <w:r>
        <w:rPr>
          <w:b/>
          <w:bCs/>
          <w:sz w:val="20"/>
          <w:szCs w:val="20"/>
        </w:rPr>
        <w:t>Tabla 2.</w:t>
      </w:r>
      <w:r>
        <w:rPr>
          <w:sz w:val="20"/>
          <w:szCs w:val="20"/>
        </w:rPr>
        <w:t xml:space="preserve"> Interpretación general de los valores del NDVI</w:t>
      </w:r>
    </w:p>
    <w:tbl>
      <w:tblPr>
        <w:tblStyle w:val="afffffff6"/>
        <w:tblW w:w="6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5"/>
        <w:gridCol w:w="4040"/>
      </w:tblGrid>
      <w:tr w:rsidR="009C64D3" w14:paraId="352B561B" w14:textId="77777777">
        <w:trPr>
          <w:trHeight w:val="56"/>
        </w:trPr>
        <w:tc>
          <w:tcPr>
            <w:tcW w:w="1985"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tcPr>
          <w:p w14:paraId="0000017E" w14:textId="77777777" w:rsidR="009C64D3" w:rsidRDefault="00000000">
            <w:pPr>
              <w:spacing w:before="240" w:after="240"/>
              <w:jc w:val="center"/>
              <w:rPr>
                <w:sz w:val="20"/>
                <w:szCs w:val="20"/>
              </w:rPr>
            </w:pPr>
            <w:r>
              <w:rPr>
                <w:b/>
                <w:bCs/>
                <w:sz w:val="20"/>
                <w:szCs w:val="20"/>
              </w:rPr>
              <w:t>Rango de valores</w:t>
            </w:r>
          </w:p>
        </w:tc>
        <w:tc>
          <w:tcPr>
            <w:tcW w:w="4040" w:type="dxa"/>
            <w:tcBorders>
              <w:top w:val="single" w:sz="4" w:space="0" w:color="000000"/>
              <w:left w:val="single" w:sz="4" w:space="0" w:color="000000"/>
              <w:bottom w:val="single" w:sz="4" w:space="0" w:color="000000"/>
              <w:right w:val="single" w:sz="4" w:space="0" w:color="000000"/>
            </w:tcBorders>
            <w:shd w:val="clear" w:color="auto" w:fill="CCCCCC"/>
            <w:tcMar>
              <w:top w:w="100" w:type="dxa"/>
              <w:left w:w="100" w:type="dxa"/>
              <w:bottom w:w="100" w:type="dxa"/>
              <w:right w:w="100" w:type="dxa"/>
            </w:tcMar>
          </w:tcPr>
          <w:p w14:paraId="0000017F" w14:textId="77777777" w:rsidR="009C64D3" w:rsidRDefault="00000000">
            <w:pPr>
              <w:spacing w:before="240" w:after="240"/>
              <w:jc w:val="center"/>
              <w:rPr>
                <w:sz w:val="20"/>
                <w:szCs w:val="20"/>
              </w:rPr>
            </w:pPr>
            <w:r>
              <w:rPr>
                <w:b/>
                <w:bCs/>
                <w:sz w:val="20"/>
                <w:szCs w:val="20"/>
              </w:rPr>
              <w:t>Interpretación general</w:t>
            </w:r>
          </w:p>
        </w:tc>
      </w:tr>
      <w:tr w:rsidR="009C64D3" w14:paraId="5A930DC4" w14:textId="77777777">
        <w:trPr>
          <w:trHeight w:val="500"/>
        </w:trPr>
        <w:tc>
          <w:tcPr>
            <w:tcW w:w="1985" w:type="dxa"/>
            <w:tcBorders>
              <w:top w:val="single" w:sz="4" w:space="0" w:color="000000"/>
              <w:left w:val="single" w:sz="4" w:space="0" w:color="000000"/>
              <w:bottom w:val="single" w:sz="4" w:space="0" w:color="000000"/>
              <w:right w:val="single" w:sz="4" w:space="0" w:color="000000"/>
            </w:tcBorders>
            <w:shd w:val="clear" w:color="auto" w:fill="FF0000"/>
            <w:tcMar>
              <w:top w:w="100" w:type="dxa"/>
              <w:left w:w="100" w:type="dxa"/>
              <w:bottom w:w="100" w:type="dxa"/>
              <w:right w:w="100" w:type="dxa"/>
            </w:tcMar>
          </w:tcPr>
          <w:p w14:paraId="00000180" w14:textId="77777777" w:rsidR="009C64D3" w:rsidRDefault="00000000">
            <w:pPr>
              <w:spacing w:before="240" w:after="240"/>
              <w:jc w:val="both"/>
              <w:rPr>
                <w:color w:val="FFFFFF"/>
                <w:sz w:val="20"/>
                <w:szCs w:val="20"/>
              </w:rPr>
            </w:pPr>
            <w:sdt>
              <w:sdtPr>
                <w:tag w:val="goog_rdk_13"/>
                <w:id w:val="2056786793"/>
              </w:sdtPr>
              <w:sdtContent>
                <w:r>
                  <w:rPr>
                    <w:rFonts w:ascii="Arial Unicode MS" w:eastAsia="Arial Unicode MS" w:hAnsi="Arial Unicode MS" w:cs="Arial Unicode MS"/>
                    <w:color w:val="FFFFFF"/>
                    <w:sz w:val="20"/>
                    <w:szCs w:val="20"/>
                  </w:rPr>
                  <w:t>−1,0 a 0,1</w:t>
                </w:r>
              </w:sdtContent>
            </w:sdt>
          </w:p>
        </w:tc>
        <w:tc>
          <w:tcPr>
            <w:tcW w:w="4040" w:type="dxa"/>
            <w:tcBorders>
              <w:top w:val="single" w:sz="4" w:space="0" w:color="000000"/>
              <w:left w:val="single" w:sz="4" w:space="0" w:color="000000"/>
              <w:bottom w:val="single" w:sz="4" w:space="0" w:color="000000"/>
              <w:right w:val="single" w:sz="4" w:space="0" w:color="000000"/>
            </w:tcBorders>
            <w:shd w:val="clear" w:color="auto" w:fill="FF0000"/>
            <w:tcMar>
              <w:top w:w="100" w:type="dxa"/>
              <w:left w:w="100" w:type="dxa"/>
              <w:bottom w:w="100" w:type="dxa"/>
              <w:right w:w="100" w:type="dxa"/>
            </w:tcMar>
          </w:tcPr>
          <w:p w14:paraId="00000181" w14:textId="77777777" w:rsidR="009C64D3" w:rsidRDefault="00000000">
            <w:pPr>
              <w:spacing w:before="240" w:after="240"/>
              <w:jc w:val="both"/>
              <w:rPr>
                <w:color w:val="FFFFFF"/>
                <w:sz w:val="20"/>
                <w:szCs w:val="20"/>
              </w:rPr>
            </w:pPr>
            <w:r>
              <w:rPr>
                <w:color w:val="FFFFFF"/>
                <w:sz w:val="20"/>
                <w:szCs w:val="20"/>
              </w:rPr>
              <w:t>Agua, nieve o estructuras.</w:t>
            </w:r>
          </w:p>
        </w:tc>
      </w:tr>
      <w:tr w:rsidR="009C64D3" w14:paraId="56840EBD" w14:textId="77777777">
        <w:trPr>
          <w:trHeight w:val="56"/>
        </w:trPr>
        <w:tc>
          <w:tcPr>
            <w:tcW w:w="1985" w:type="dxa"/>
            <w:tcBorders>
              <w:top w:val="single" w:sz="4" w:space="0" w:color="000000"/>
              <w:left w:val="single" w:sz="4" w:space="0" w:color="000000"/>
              <w:bottom w:val="single" w:sz="4" w:space="0" w:color="000000"/>
              <w:right w:val="single" w:sz="4" w:space="0" w:color="000000"/>
            </w:tcBorders>
            <w:shd w:val="clear" w:color="auto" w:fill="FF7600"/>
            <w:tcMar>
              <w:top w:w="100" w:type="dxa"/>
              <w:left w:w="100" w:type="dxa"/>
              <w:bottom w:w="100" w:type="dxa"/>
              <w:right w:w="100" w:type="dxa"/>
            </w:tcMar>
          </w:tcPr>
          <w:p w14:paraId="00000182" w14:textId="77777777" w:rsidR="009C64D3" w:rsidRDefault="00000000">
            <w:pPr>
              <w:spacing w:before="240" w:after="240"/>
              <w:jc w:val="both"/>
              <w:rPr>
                <w:color w:val="FFFFFF"/>
                <w:sz w:val="20"/>
                <w:szCs w:val="20"/>
              </w:rPr>
            </w:pPr>
            <w:r>
              <w:rPr>
                <w:color w:val="FFFFFF"/>
                <w:sz w:val="20"/>
                <w:szCs w:val="20"/>
              </w:rPr>
              <w:t>0,2 a 0,3</w:t>
            </w:r>
          </w:p>
        </w:tc>
        <w:tc>
          <w:tcPr>
            <w:tcW w:w="4040" w:type="dxa"/>
            <w:tcBorders>
              <w:top w:val="single" w:sz="4" w:space="0" w:color="000000"/>
              <w:left w:val="single" w:sz="4" w:space="0" w:color="000000"/>
              <w:bottom w:val="single" w:sz="4" w:space="0" w:color="000000"/>
              <w:right w:val="single" w:sz="4" w:space="0" w:color="000000"/>
            </w:tcBorders>
            <w:shd w:val="clear" w:color="auto" w:fill="FF7600"/>
            <w:tcMar>
              <w:top w:w="100" w:type="dxa"/>
              <w:left w:w="100" w:type="dxa"/>
              <w:bottom w:w="100" w:type="dxa"/>
              <w:right w:w="100" w:type="dxa"/>
            </w:tcMar>
          </w:tcPr>
          <w:p w14:paraId="00000183" w14:textId="77777777" w:rsidR="009C64D3" w:rsidRDefault="00000000">
            <w:pPr>
              <w:spacing w:before="240" w:after="240"/>
              <w:jc w:val="both"/>
              <w:rPr>
                <w:color w:val="FFFFFF"/>
                <w:sz w:val="20"/>
                <w:szCs w:val="20"/>
              </w:rPr>
            </w:pPr>
            <w:r>
              <w:rPr>
                <w:color w:val="FFFFFF"/>
                <w:sz w:val="20"/>
                <w:szCs w:val="20"/>
              </w:rPr>
              <w:t>Suelo descubierto.</w:t>
            </w:r>
          </w:p>
        </w:tc>
      </w:tr>
      <w:tr w:rsidR="009C64D3" w14:paraId="23365023" w14:textId="77777777">
        <w:trPr>
          <w:trHeight w:val="500"/>
        </w:trPr>
        <w:tc>
          <w:tcPr>
            <w:tcW w:w="1985" w:type="dxa"/>
            <w:tcBorders>
              <w:top w:val="single" w:sz="4" w:space="0" w:color="000000"/>
              <w:left w:val="single" w:sz="4" w:space="0" w:color="000000"/>
              <w:bottom w:val="single" w:sz="4" w:space="0" w:color="000000"/>
              <w:right w:val="single" w:sz="4" w:space="0" w:color="000000"/>
            </w:tcBorders>
            <w:shd w:val="clear" w:color="auto" w:fill="F1C232"/>
            <w:tcMar>
              <w:top w:w="100" w:type="dxa"/>
              <w:left w:w="100" w:type="dxa"/>
              <w:bottom w:w="100" w:type="dxa"/>
              <w:right w:w="100" w:type="dxa"/>
            </w:tcMar>
          </w:tcPr>
          <w:p w14:paraId="00000184" w14:textId="77777777" w:rsidR="009C64D3" w:rsidRDefault="00000000">
            <w:pPr>
              <w:spacing w:before="240" w:after="240"/>
              <w:jc w:val="both"/>
              <w:rPr>
                <w:color w:val="FFFFFF"/>
                <w:sz w:val="20"/>
                <w:szCs w:val="20"/>
              </w:rPr>
            </w:pPr>
            <w:r>
              <w:rPr>
                <w:color w:val="FFFFFF"/>
                <w:sz w:val="20"/>
                <w:szCs w:val="20"/>
              </w:rPr>
              <w:t>0,4 a 0,5</w:t>
            </w:r>
          </w:p>
        </w:tc>
        <w:tc>
          <w:tcPr>
            <w:tcW w:w="4040" w:type="dxa"/>
            <w:tcBorders>
              <w:top w:val="single" w:sz="4" w:space="0" w:color="000000"/>
              <w:left w:val="single" w:sz="4" w:space="0" w:color="000000"/>
              <w:bottom w:val="single" w:sz="4" w:space="0" w:color="000000"/>
              <w:right w:val="single" w:sz="4" w:space="0" w:color="000000"/>
            </w:tcBorders>
            <w:shd w:val="clear" w:color="auto" w:fill="F1C232"/>
            <w:tcMar>
              <w:top w:w="100" w:type="dxa"/>
              <w:left w:w="100" w:type="dxa"/>
              <w:bottom w:w="100" w:type="dxa"/>
              <w:right w:w="100" w:type="dxa"/>
            </w:tcMar>
          </w:tcPr>
          <w:p w14:paraId="00000185" w14:textId="77777777" w:rsidR="009C64D3" w:rsidRDefault="00000000">
            <w:pPr>
              <w:spacing w:before="240" w:after="240"/>
              <w:jc w:val="both"/>
              <w:rPr>
                <w:color w:val="FFFFFF"/>
                <w:sz w:val="20"/>
                <w:szCs w:val="20"/>
              </w:rPr>
            </w:pPr>
            <w:r>
              <w:rPr>
                <w:color w:val="FFFFFF"/>
                <w:sz w:val="20"/>
                <w:szCs w:val="20"/>
              </w:rPr>
              <w:t>Vegetación moderada o pastos.</w:t>
            </w:r>
          </w:p>
        </w:tc>
      </w:tr>
      <w:tr w:rsidR="009C64D3" w14:paraId="75AD22A2" w14:textId="77777777">
        <w:trPr>
          <w:trHeight w:val="500"/>
        </w:trPr>
        <w:tc>
          <w:tcPr>
            <w:tcW w:w="1985" w:type="dxa"/>
            <w:tcBorders>
              <w:top w:val="single" w:sz="4" w:space="0" w:color="000000"/>
              <w:left w:val="single" w:sz="4" w:space="0" w:color="000000"/>
              <w:bottom w:val="single" w:sz="4" w:space="0" w:color="000000"/>
              <w:right w:val="single" w:sz="4" w:space="0" w:color="000000"/>
            </w:tcBorders>
            <w:shd w:val="clear" w:color="auto" w:fill="33CC68"/>
            <w:tcMar>
              <w:top w:w="100" w:type="dxa"/>
              <w:left w:w="100" w:type="dxa"/>
              <w:bottom w:w="100" w:type="dxa"/>
              <w:right w:w="100" w:type="dxa"/>
            </w:tcMar>
          </w:tcPr>
          <w:p w14:paraId="00000186" w14:textId="77777777" w:rsidR="009C64D3" w:rsidRDefault="00000000">
            <w:pPr>
              <w:spacing w:before="240" w:after="240"/>
              <w:jc w:val="both"/>
              <w:rPr>
                <w:color w:val="FFFFFF"/>
                <w:sz w:val="20"/>
                <w:szCs w:val="20"/>
                <w:shd w:val="clear" w:color="auto" w:fill="33CC68"/>
              </w:rPr>
            </w:pPr>
            <w:r>
              <w:rPr>
                <w:color w:val="FFFFFF"/>
                <w:sz w:val="20"/>
                <w:szCs w:val="20"/>
                <w:shd w:val="clear" w:color="auto" w:fill="33CC68"/>
              </w:rPr>
              <w:t>0,6 a 0,9</w:t>
            </w:r>
          </w:p>
        </w:tc>
        <w:tc>
          <w:tcPr>
            <w:tcW w:w="4040" w:type="dxa"/>
            <w:tcBorders>
              <w:top w:val="single" w:sz="4" w:space="0" w:color="000000"/>
              <w:left w:val="single" w:sz="4" w:space="0" w:color="000000"/>
              <w:bottom w:val="single" w:sz="4" w:space="0" w:color="000000"/>
              <w:right w:val="single" w:sz="4" w:space="0" w:color="000000"/>
            </w:tcBorders>
            <w:shd w:val="clear" w:color="auto" w:fill="33CC68"/>
            <w:tcMar>
              <w:top w:w="100" w:type="dxa"/>
              <w:left w:w="100" w:type="dxa"/>
              <w:bottom w:w="100" w:type="dxa"/>
              <w:right w:w="100" w:type="dxa"/>
            </w:tcMar>
          </w:tcPr>
          <w:p w14:paraId="00000187" w14:textId="77777777" w:rsidR="009C64D3" w:rsidRDefault="00000000">
            <w:pPr>
              <w:spacing w:before="240" w:after="240"/>
              <w:jc w:val="both"/>
              <w:rPr>
                <w:color w:val="FFFFFF"/>
                <w:sz w:val="20"/>
                <w:szCs w:val="20"/>
                <w:shd w:val="clear" w:color="auto" w:fill="33CC68"/>
              </w:rPr>
            </w:pPr>
            <w:r>
              <w:rPr>
                <w:color w:val="FFFFFF"/>
                <w:sz w:val="20"/>
                <w:szCs w:val="20"/>
                <w:shd w:val="clear" w:color="auto" w:fill="33CC68"/>
              </w:rPr>
              <w:t>Dosel denso o árboles con mayor vigor.</w:t>
            </w:r>
          </w:p>
        </w:tc>
      </w:tr>
    </w:tbl>
    <w:p w14:paraId="00000188" w14:textId="77777777" w:rsidR="009C64D3" w:rsidRDefault="00000000">
      <w:pPr>
        <w:spacing w:before="240" w:after="240"/>
        <w:jc w:val="both"/>
        <w:rPr>
          <w:sz w:val="20"/>
          <w:szCs w:val="20"/>
        </w:rPr>
      </w:pPr>
      <w:r>
        <w:rPr>
          <w:sz w:val="20"/>
          <w:szCs w:val="20"/>
        </w:rPr>
        <w:t>En los sistemas agroforestales, la interpretación del NDVI aporta información sobre las características de la cobertura vegetal y puede apoyar el análisis del dosel y de las condiciones de sombra sobre los cultivos asociados.</w:t>
      </w:r>
    </w:p>
    <w:p w14:paraId="00000189" w14:textId="77777777" w:rsidR="009C64D3" w:rsidRDefault="009C64D3">
      <w:pPr>
        <w:spacing w:before="240" w:after="240"/>
        <w:jc w:val="both"/>
        <w:rPr>
          <w:sz w:val="20"/>
          <w:szCs w:val="20"/>
        </w:rPr>
      </w:pPr>
    </w:p>
    <w:p w14:paraId="711B9FF2" w14:textId="77777777" w:rsidR="00DC122F" w:rsidRDefault="00DC122F">
      <w:pPr>
        <w:spacing w:before="240" w:after="240"/>
        <w:jc w:val="both"/>
        <w:rPr>
          <w:sz w:val="20"/>
          <w:szCs w:val="20"/>
        </w:rPr>
      </w:pPr>
    </w:p>
    <w:p w14:paraId="1FF99D75" w14:textId="77777777" w:rsidR="00DC122F" w:rsidRDefault="00DC122F">
      <w:pPr>
        <w:spacing w:before="240" w:after="240"/>
        <w:jc w:val="both"/>
        <w:rPr>
          <w:sz w:val="20"/>
          <w:szCs w:val="20"/>
        </w:rPr>
      </w:pPr>
    </w:p>
    <w:p w14:paraId="0000018A" w14:textId="77777777" w:rsidR="009C64D3" w:rsidRDefault="00000000">
      <w:pPr>
        <w:spacing w:before="240" w:after="240"/>
        <w:jc w:val="both"/>
        <w:rPr>
          <w:b/>
          <w:bCs/>
          <w:sz w:val="20"/>
          <w:szCs w:val="20"/>
        </w:rPr>
      </w:pPr>
      <w:r>
        <w:rPr>
          <w:b/>
          <w:bCs/>
          <w:sz w:val="20"/>
          <w:szCs w:val="20"/>
        </w:rPr>
        <w:lastRenderedPageBreak/>
        <w:t>3.2 Índices de vegetación complementarios al NDVI</w:t>
      </w:r>
    </w:p>
    <w:p w14:paraId="0000018C" w14:textId="77777777" w:rsidR="009C64D3" w:rsidRDefault="009C64D3">
      <w:pPr>
        <w:spacing w:line="240" w:lineRule="auto"/>
        <w:jc w:val="both"/>
        <w:rPr>
          <w:b/>
          <w:bCs/>
          <w:sz w:val="20"/>
          <w:szCs w:val="20"/>
        </w:rPr>
      </w:pPr>
    </w:p>
    <w:sdt>
      <w:sdtPr>
        <w:tag w:val="goog_rdk_15"/>
        <w:id w:val="-1757762893"/>
        <w:lock w:val="contentLocked"/>
      </w:sdtPr>
      <w:sdtContent>
        <w:tbl>
          <w:tblPr>
            <w:tblStyle w:val="afffffff7"/>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5"/>
            <w:gridCol w:w="4110"/>
          </w:tblGrid>
          <w:tr w:rsidR="009C64D3" w14:paraId="11F18D15" w14:textId="77777777">
            <w:tc>
              <w:tcPr>
                <w:tcW w:w="5805" w:type="dxa"/>
                <w:shd w:val="clear" w:color="auto" w:fill="E2EFD9"/>
              </w:tcPr>
              <w:p w14:paraId="0000018D" w14:textId="77777777" w:rsidR="009C64D3" w:rsidRDefault="00000000">
                <w:pPr>
                  <w:spacing w:before="240" w:after="240" w:line="276" w:lineRule="auto"/>
                  <w:jc w:val="both"/>
                  <w:rPr>
                    <w:sz w:val="20"/>
                    <w:szCs w:val="20"/>
                  </w:rPr>
                </w:pPr>
                <w:r>
                  <w:rPr>
                    <w:sz w:val="20"/>
                    <w:szCs w:val="20"/>
                  </w:rPr>
                  <w:t>La vegetación desempeña un papel relevante en el mantenimiento de recursos como el suelo, la fauna y el paisaje. Mediante el análisis multitemporal de imágenes satelitales es posible realizar seguimiento a la evolución de las comunidades vegetales y los cultivos a través del tiempo.</w:t>
                </w:r>
              </w:p>
              <w:p w14:paraId="0000018E" w14:textId="77777777" w:rsidR="009C64D3" w:rsidRDefault="00000000">
                <w:pPr>
                  <w:spacing w:before="240" w:after="240" w:line="276" w:lineRule="auto"/>
                  <w:jc w:val="both"/>
                  <w:rPr>
                    <w:sz w:val="20"/>
                    <w:szCs w:val="20"/>
                  </w:rPr>
                </w:pPr>
                <w:r>
                  <w:rPr>
                    <w:sz w:val="20"/>
                    <w:szCs w:val="20"/>
                  </w:rPr>
                  <w:t>Los índices de vegetación se calculan mediante operaciones entre diferentes bandas espectrales y permiten resaltar las características de la cobertura vegetal, al tiempo que reducen la influencia de componentes como el suelo o las condiciones de iluminación. Los resultados pueden aportar información relacionada con la densidad de la vegetación, el índice de área foliar y la actividad clorofílica. Debido a que cada índice presenta características y limitaciones particulares, pueden utilizarse de manera complementaria al NDVI para ampliar el análisis de la vegetación (Alonso, 2020).</w:t>
                </w:r>
              </w:p>
            </w:tc>
            <w:tc>
              <w:tcPr>
                <w:tcW w:w="4110" w:type="dxa"/>
                <w:shd w:val="clear" w:color="auto" w:fill="E2EFD9"/>
              </w:tcPr>
              <w:p w14:paraId="0000018F" w14:textId="77777777" w:rsidR="009C64D3" w:rsidRDefault="00000000">
                <w:pPr>
                  <w:jc w:val="center"/>
                  <w:rPr>
                    <w:b/>
                    <w:bCs/>
                    <w:sz w:val="20"/>
                    <w:szCs w:val="20"/>
                  </w:rPr>
                </w:pPr>
                <w:sdt>
                  <w:sdtPr>
                    <w:tag w:val="goog_rdk_14"/>
                    <w:id w:val="-717408578"/>
                  </w:sdtPr>
                  <w:sdtContent>
                    <w:commentRangeStart w:id="14"/>
                  </w:sdtContent>
                </w:sdt>
                <w:r>
                  <w:rPr>
                    <w:b/>
                    <w:bCs/>
                    <w:noProof/>
                    <w:sz w:val="20"/>
                    <w:szCs w:val="20"/>
                  </w:rPr>
                  <w:drawing>
                    <wp:inline distT="114300" distB="114300" distL="114300" distR="114300" wp14:anchorId="19121BE4" wp14:editId="66C4C548">
                      <wp:extent cx="2476500" cy="1511300"/>
                      <wp:effectExtent l="0" t="0" r="0" b="0"/>
                      <wp:docPr id="13887580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9"/>
                              <a:srcRect/>
                              <a:stretch>
                                <a:fillRect/>
                              </a:stretch>
                            </pic:blipFill>
                            <pic:spPr>
                              <a:xfrm>
                                <a:off x="0" y="0"/>
                                <a:ext cx="2476500" cy="1511300"/>
                              </a:xfrm>
                              <a:prstGeom prst="rect">
                                <a:avLst/>
                              </a:prstGeom>
                              <a:ln/>
                            </pic:spPr>
                          </pic:pic>
                        </a:graphicData>
                      </a:graphic>
                    </wp:inline>
                  </w:drawing>
                </w:r>
                <w:commentRangeEnd w:id="14"/>
                <w:r>
                  <w:rPr>
                    <w:rStyle w:val="Refdecomentario"/>
                    <w:sz w:val="22"/>
                    <w:szCs w:val="22"/>
                  </w:rPr>
                  <w:commentReference w:id="14"/>
                </w:r>
              </w:p>
            </w:tc>
          </w:tr>
        </w:tbl>
      </w:sdtContent>
    </w:sdt>
    <w:p w14:paraId="00000190" w14:textId="77777777" w:rsidR="009C64D3" w:rsidRDefault="00000000">
      <w:pPr>
        <w:spacing w:before="240" w:after="240"/>
        <w:jc w:val="both"/>
        <w:rPr>
          <w:sz w:val="20"/>
          <w:szCs w:val="20"/>
        </w:rPr>
      </w:pPr>
      <w:r>
        <w:rPr>
          <w:sz w:val="20"/>
          <w:szCs w:val="20"/>
        </w:rPr>
        <w:t>Los principales índices que complementan el análisis del NDVI se presentan a continuación:</w:t>
      </w:r>
    </w:p>
    <w:p w14:paraId="00000191" w14:textId="77777777" w:rsidR="009C64D3" w:rsidRDefault="009C64D3">
      <w:pPr>
        <w:spacing w:line="240" w:lineRule="auto"/>
        <w:jc w:val="both"/>
        <w:rPr>
          <w:sz w:val="20"/>
          <w:szCs w:val="20"/>
        </w:rPr>
      </w:pPr>
    </w:p>
    <w:sdt>
      <w:sdtPr>
        <w:tag w:val="goog_rdk_22"/>
        <w:id w:val="-38238686"/>
        <w:lock w:val="contentLocked"/>
      </w:sdtPr>
      <w:sdtContent>
        <w:tbl>
          <w:tblPr>
            <w:tblStyle w:val="afffffff8"/>
            <w:tblW w:w="1000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590"/>
            <w:gridCol w:w="5676"/>
            <w:gridCol w:w="2739"/>
          </w:tblGrid>
          <w:tr w:rsidR="009C64D3" w14:paraId="7ABE1639" w14:textId="77777777">
            <w:trPr>
              <w:trHeight w:val="285"/>
            </w:trPr>
            <w:tc>
              <w:tcPr>
                <w:tcW w:w="10004"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192" w14:textId="77777777" w:rsidR="009C64D3" w:rsidRDefault="00000000">
                <w:pPr>
                  <w:spacing w:line="240" w:lineRule="auto"/>
                  <w:jc w:val="center"/>
                  <w:rPr>
                    <w:sz w:val="20"/>
                    <w:szCs w:val="20"/>
                  </w:rPr>
                </w:pPr>
                <w:r>
                  <w:rPr>
                    <w:b/>
                    <w:bCs/>
                    <w:sz w:val="20"/>
                    <w:szCs w:val="20"/>
                  </w:rPr>
                  <w:t>Pestañas</w:t>
                </w:r>
                <w:r>
                  <w:rPr>
                    <w:sz w:val="20"/>
                    <w:szCs w:val="20"/>
                  </w:rPr>
                  <w:t> </w:t>
                </w:r>
              </w:p>
            </w:tc>
          </w:tr>
          <w:tr w:rsidR="009C64D3" w14:paraId="42B47322" w14:textId="77777777">
            <w:trPr>
              <w:trHeight w:val="285"/>
            </w:trPr>
            <w:tc>
              <w:tcPr>
                <w:tcW w:w="1590" w:type="dxa"/>
                <w:tcBorders>
                  <w:top w:val="single" w:sz="6" w:space="0" w:color="000000"/>
                  <w:left w:val="single" w:sz="6" w:space="0" w:color="000000"/>
                  <w:bottom w:val="single" w:sz="6" w:space="0" w:color="000000"/>
                  <w:right w:val="single" w:sz="6" w:space="0" w:color="000000"/>
                </w:tcBorders>
                <w:shd w:val="clear" w:color="auto" w:fill="FFFFFF"/>
              </w:tcPr>
              <w:p w14:paraId="00000195" w14:textId="77777777" w:rsidR="009C64D3" w:rsidRDefault="00000000">
                <w:pPr>
                  <w:spacing w:line="240" w:lineRule="auto"/>
                  <w:jc w:val="both"/>
                  <w:rPr>
                    <w:b/>
                    <w:bCs/>
                    <w:sz w:val="20"/>
                    <w:szCs w:val="20"/>
                  </w:rPr>
                </w:pPr>
                <w:r>
                  <w:rPr>
                    <w:b/>
                    <w:bCs/>
                    <w:sz w:val="20"/>
                    <w:szCs w:val="20"/>
                  </w:rPr>
                  <w:t xml:space="preserve">Índice de Vegetación Mejorado (EVI) </w:t>
                </w:r>
              </w:p>
            </w:tc>
            <w:tc>
              <w:tcPr>
                <w:tcW w:w="5675" w:type="dxa"/>
                <w:tcBorders>
                  <w:top w:val="single" w:sz="6" w:space="0" w:color="000000"/>
                  <w:left w:val="single" w:sz="6" w:space="0" w:color="000000"/>
                  <w:bottom w:val="single" w:sz="6" w:space="0" w:color="000000"/>
                  <w:right w:val="single" w:sz="6" w:space="0" w:color="000000"/>
                </w:tcBorders>
                <w:shd w:val="clear" w:color="auto" w:fill="FFFFFF"/>
              </w:tcPr>
              <w:p w14:paraId="00000196" w14:textId="77777777" w:rsidR="009C64D3" w:rsidRDefault="00000000">
                <w:pPr>
                  <w:pBdr>
                    <w:top w:val="nil"/>
                    <w:left w:val="nil"/>
                    <w:bottom w:val="nil"/>
                    <w:right w:val="nil"/>
                    <w:between w:val="nil"/>
                  </w:pBdr>
                  <w:spacing w:line="240" w:lineRule="auto"/>
                  <w:jc w:val="both"/>
                  <w:rPr>
                    <w:sz w:val="20"/>
                    <w:szCs w:val="20"/>
                  </w:rPr>
                </w:pPr>
                <w:r>
                  <w:rPr>
                    <w:sz w:val="20"/>
                    <w:szCs w:val="20"/>
                  </w:rPr>
                  <w:t>El Índice de Vegetación Mejorado (EVI) incorpora las bandas del infrarrojo cercano, rojo y azul para reducir la influencia de determinados efectos atmosféricos y facilitar el monitoreo de áreas con alta densidad de biomasa.</w:t>
                </w:r>
              </w:p>
              <w:p w14:paraId="00000197" w14:textId="77777777" w:rsidR="009C64D3" w:rsidRDefault="00000000">
                <w:pPr>
                  <w:pBdr>
                    <w:top w:val="nil"/>
                    <w:left w:val="nil"/>
                    <w:bottom w:val="nil"/>
                    <w:right w:val="nil"/>
                    <w:between w:val="nil"/>
                  </w:pBdr>
                  <w:spacing w:before="240" w:after="240"/>
                  <w:jc w:val="both"/>
                  <w:rPr>
                    <w:sz w:val="20"/>
                    <w:szCs w:val="20"/>
                  </w:rPr>
                </w:pPr>
                <w:r>
                  <w:rPr>
                    <w:sz w:val="20"/>
                    <w:szCs w:val="20"/>
                  </w:rPr>
                  <w:t>Su fórmula de cálculo es:</w:t>
                </w:r>
              </w:p>
              <w:p w14:paraId="00000198" w14:textId="77777777" w:rsidR="009C64D3" w:rsidRDefault="00000000">
                <w:pPr>
                  <w:spacing w:before="240" w:after="240" w:line="240" w:lineRule="auto"/>
                  <w:jc w:val="both"/>
                  <w:rPr>
                    <w:b/>
                    <w:bCs/>
                    <w:sz w:val="20"/>
                    <w:szCs w:val="20"/>
                  </w:rPr>
                </w:pPr>
                <w:r>
                  <w:rPr>
                    <w:b/>
                    <w:bCs/>
                    <w:sz w:val="20"/>
                    <w:szCs w:val="20"/>
                  </w:rPr>
                  <w:t>EVI = G × (NIR – ROJO) / (NIR + C1 × ROJO – C2 × AZUL + L)</w:t>
                </w:r>
              </w:p>
              <w:p w14:paraId="00000199" w14:textId="77777777" w:rsidR="009C64D3" w:rsidRDefault="00000000">
                <w:pPr>
                  <w:spacing w:before="240" w:line="240" w:lineRule="auto"/>
                  <w:jc w:val="both"/>
                  <w:rPr>
                    <w:sz w:val="20"/>
                    <w:szCs w:val="20"/>
                  </w:rPr>
                </w:pPr>
                <w:r>
                  <w:rPr>
                    <w:sz w:val="20"/>
                    <w:szCs w:val="20"/>
                  </w:rPr>
                  <w:t>Este índice resulta útil para analizar áreas con cantidades elevadas de clorofila, como coberturas vegetales densas (Alonso, 2020).</w:t>
                </w:r>
              </w:p>
            </w:tc>
            <w:tc>
              <w:tcPr>
                <w:tcW w:w="2739" w:type="dxa"/>
                <w:tcBorders>
                  <w:top w:val="single" w:sz="6" w:space="0" w:color="000000"/>
                  <w:left w:val="single" w:sz="6" w:space="0" w:color="000000"/>
                  <w:bottom w:val="single" w:sz="6" w:space="0" w:color="000000"/>
                  <w:right w:val="single" w:sz="6" w:space="0" w:color="000000"/>
                </w:tcBorders>
                <w:shd w:val="clear" w:color="auto" w:fill="FFFFFF"/>
              </w:tcPr>
              <w:p w14:paraId="0000019A" w14:textId="77777777" w:rsidR="009C64D3" w:rsidRDefault="00000000">
                <w:pPr>
                  <w:jc w:val="both"/>
                  <w:rPr>
                    <w:b/>
                    <w:bCs/>
                    <w:sz w:val="20"/>
                    <w:szCs w:val="20"/>
                  </w:rPr>
                </w:pPr>
                <w:sdt>
                  <w:sdtPr>
                    <w:tag w:val="goog_rdk_16"/>
                    <w:id w:val="-1802343642"/>
                  </w:sdtPr>
                  <w:sdtContent>
                    <w:commentRangeStart w:id="15"/>
                  </w:sdtContent>
                </w:sdt>
                <w:r>
                  <w:rPr>
                    <w:noProof/>
                    <w:color w:val="333333"/>
                    <w:sz w:val="20"/>
                    <w:szCs w:val="20"/>
                  </w:rPr>
                  <w:drawing>
                    <wp:inline distT="0" distB="0" distL="0" distR="0" wp14:anchorId="25D148A1" wp14:editId="68DC0A6C">
                      <wp:extent cx="1679152" cy="1135426"/>
                      <wp:effectExtent l="0" t="0" r="0" b="0"/>
                      <wp:docPr id="1388758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3"/>
                              <a:srcRect/>
                              <a:stretch>
                                <a:fillRect/>
                              </a:stretch>
                            </pic:blipFill>
                            <pic:spPr>
                              <a:xfrm>
                                <a:off x="0" y="0"/>
                                <a:ext cx="1679152" cy="1135426"/>
                              </a:xfrm>
                              <a:prstGeom prst="rect">
                                <a:avLst/>
                              </a:prstGeom>
                              <a:ln/>
                            </pic:spPr>
                          </pic:pic>
                        </a:graphicData>
                      </a:graphic>
                    </wp:inline>
                  </w:drawing>
                </w:r>
                <w:commentRangeEnd w:id="15"/>
                <w:r>
                  <w:rPr>
                    <w:rStyle w:val="Refdecomentario"/>
                    <w:b/>
                    <w:bCs/>
                    <w:sz w:val="20"/>
                    <w:szCs w:val="20"/>
                  </w:rPr>
                  <w:commentReference w:id="15"/>
                </w:r>
              </w:p>
            </w:tc>
          </w:tr>
          <w:tr w:rsidR="009C64D3" w14:paraId="027EA2EE" w14:textId="77777777">
            <w:trPr>
              <w:trHeight w:val="285"/>
            </w:trPr>
            <w:tc>
              <w:tcPr>
                <w:tcW w:w="1590" w:type="dxa"/>
                <w:tcBorders>
                  <w:top w:val="single" w:sz="6" w:space="0" w:color="000000"/>
                  <w:left w:val="single" w:sz="6" w:space="0" w:color="000000"/>
                  <w:bottom w:val="single" w:sz="6" w:space="0" w:color="000000"/>
                  <w:right w:val="single" w:sz="6" w:space="0" w:color="000000"/>
                </w:tcBorders>
                <w:shd w:val="clear" w:color="auto" w:fill="FFFFFF"/>
              </w:tcPr>
              <w:p w14:paraId="0000019B" w14:textId="77777777" w:rsidR="009C64D3" w:rsidRDefault="00000000">
                <w:pPr>
                  <w:spacing w:line="240" w:lineRule="auto"/>
                  <w:jc w:val="both"/>
                  <w:rPr>
                    <w:b/>
                    <w:bCs/>
                    <w:sz w:val="20"/>
                    <w:szCs w:val="20"/>
                  </w:rPr>
                </w:pPr>
                <w:r>
                  <w:rPr>
                    <w:b/>
                    <w:bCs/>
                    <w:sz w:val="20"/>
                    <w:szCs w:val="20"/>
                  </w:rPr>
                  <w:t>Índice de Vegetación Ajustado al Suelo (SAVI)</w:t>
                </w:r>
              </w:p>
            </w:tc>
            <w:tc>
              <w:tcPr>
                <w:tcW w:w="5675" w:type="dxa"/>
                <w:tcBorders>
                  <w:top w:val="single" w:sz="6" w:space="0" w:color="000000"/>
                  <w:left w:val="single" w:sz="6" w:space="0" w:color="000000"/>
                  <w:bottom w:val="single" w:sz="6" w:space="0" w:color="000000"/>
                  <w:right w:val="single" w:sz="6" w:space="0" w:color="000000"/>
                </w:tcBorders>
                <w:shd w:val="clear" w:color="auto" w:fill="FFFFFF"/>
              </w:tcPr>
              <w:p w14:paraId="0000019C" w14:textId="77777777" w:rsidR="009C64D3" w:rsidRDefault="00000000">
                <w:pPr>
                  <w:spacing w:after="240" w:line="240" w:lineRule="auto"/>
                  <w:jc w:val="both"/>
                  <w:rPr>
                    <w:sz w:val="20"/>
                    <w:szCs w:val="20"/>
                  </w:rPr>
                </w:pPr>
                <w:r>
                  <w:rPr>
                    <w:sz w:val="20"/>
                    <w:szCs w:val="20"/>
                  </w:rPr>
                  <w:t xml:space="preserve">El Índice de Vegetación Ajustado al Suelo (SAVI) permite disminuir la influencia del suelo sobre los resultados del análisis espectral. Para ello, incorpora un factor de ajuste denominado </w:t>
                </w:r>
                <w:r>
                  <w:rPr>
                    <w:b/>
                    <w:bCs/>
                    <w:sz w:val="20"/>
                    <w:szCs w:val="20"/>
                  </w:rPr>
                  <w:t>L</w:t>
                </w:r>
                <w:r>
                  <w:rPr>
                    <w:sz w:val="20"/>
                    <w:szCs w:val="20"/>
                  </w:rPr>
                  <w:t>.</w:t>
                </w:r>
              </w:p>
              <w:p w14:paraId="0000019D" w14:textId="77777777" w:rsidR="009C64D3" w:rsidRDefault="00000000">
                <w:pPr>
                  <w:spacing w:before="240" w:after="240" w:line="240" w:lineRule="auto"/>
                  <w:jc w:val="both"/>
                  <w:rPr>
                    <w:sz w:val="20"/>
                    <w:szCs w:val="20"/>
                  </w:rPr>
                </w:pPr>
                <w:r>
                  <w:rPr>
                    <w:sz w:val="20"/>
                    <w:szCs w:val="20"/>
                  </w:rPr>
                  <w:t>Su fórmula de cálculo es:</w:t>
                </w:r>
              </w:p>
              <w:p w14:paraId="0000019E" w14:textId="77777777" w:rsidR="009C64D3" w:rsidRDefault="00000000">
                <w:pPr>
                  <w:spacing w:before="240" w:after="240" w:line="240" w:lineRule="auto"/>
                  <w:jc w:val="both"/>
                  <w:rPr>
                    <w:b/>
                    <w:bCs/>
                    <w:sz w:val="20"/>
                    <w:szCs w:val="20"/>
                  </w:rPr>
                </w:pPr>
                <w:r>
                  <w:rPr>
                    <w:b/>
                    <w:bCs/>
                    <w:sz w:val="20"/>
                    <w:szCs w:val="20"/>
                  </w:rPr>
                  <w:t>SAVI = [(IRC – R) / (IRC + R + L)] × (1 + L)</w:t>
                </w:r>
              </w:p>
              <w:p w14:paraId="0000019F" w14:textId="77777777" w:rsidR="009C64D3" w:rsidRDefault="00000000">
                <w:pPr>
                  <w:spacing w:before="240" w:line="240" w:lineRule="auto"/>
                  <w:jc w:val="both"/>
                  <w:rPr>
                    <w:sz w:val="20"/>
                    <w:szCs w:val="20"/>
                  </w:rPr>
                </w:pPr>
                <w:r>
                  <w:rPr>
                    <w:sz w:val="20"/>
                    <w:szCs w:val="20"/>
                  </w:rPr>
                  <w:t>Este índice puede aplicarse en áreas con vegetación escasa, cultivos jóvenes o superficies donde existe una proporción importante de suelo expuesto (Alonso, 2020).</w:t>
                </w:r>
              </w:p>
            </w:tc>
            <w:tc>
              <w:tcPr>
                <w:tcW w:w="2739" w:type="dxa"/>
                <w:tcBorders>
                  <w:top w:val="single" w:sz="6" w:space="0" w:color="000000"/>
                  <w:left w:val="single" w:sz="6" w:space="0" w:color="000000"/>
                  <w:bottom w:val="single" w:sz="6" w:space="0" w:color="000000"/>
                  <w:right w:val="single" w:sz="6" w:space="0" w:color="000000"/>
                </w:tcBorders>
                <w:shd w:val="clear" w:color="auto" w:fill="FFFFFF"/>
              </w:tcPr>
              <w:p w14:paraId="000001A0" w14:textId="77777777" w:rsidR="009C64D3" w:rsidRDefault="00000000">
                <w:pPr>
                  <w:jc w:val="both"/>
                  <w:rPr>
                    <w:b/>
                    <w:bCs/>
                    <w:sz w:val="20"/>
                    <w:szCs w:val="20"/>
                  </w:rPr>
                </w:pPr>
                <w:sdt>
                  <w:sdtPr>
                    <w:tag w:val="goog_rdk_17"/>
                    <w:id w:val="-317777302"/>
                  </w:sdtPr>
                  <w:sdtContent>
                    <w:commentRangeStart w:id="16"/>
                  </w:sdtContent>
                </w:sdt>
                <w:r>
                  <w:rPr>
                    <w:noProof/>
                    <w:color w:val="333333"/>
                    <w:sz w:val="20"/>
                    <w:szCs w:val="20"/>
                  </w:rPr>
                  <w:drawing>
                    <wp:inline distT="0" distB="0" distL="0" distR="0" wp14:anchorId="5C88CB71" wp14:editId="06F191B6">
                      <wp:extent cx="1733550" cy="1003300"/>
                      <wp:effectExtent l="0" t="0" r="0" b="0"/>
                      <wp:docPr id="1388758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4"/>
                              <a:srcRect/>
                              <a:stretch>
                                <a:fillRect/>
                              </a:stretch>
                            </pic:blipFill>
                            <pic:spPr>
                              <a:xfrm>
                                <a:off x="0" y="0"/>
                                <a:ext cx="1733550" cy="1003300"/>
                              </a:xfrm>
                              <a:prstGeom prst="rect">
                                <a:avLst/>
                              </a:prstGeom>
                              <a:ln/>
                            </pic:spPr>
                          </pic:pic>
                        </a:graphicData>
                      </a:graphic>
                    </wp:inline>
                  </w:drawing>
                </w:r>
                <w:commentRangeEnd w:id="16"/>
                <w:r>
                  <w:rPr>
                    <w:rStyle w:val="Refdecomentario"/>
                    <w:b/>
                    <w:bCs/>
                    <w:sz w:val="20"/>
                    <w:szCs w:val="20"/>
                  </w:rPr>
                  <w:commentReference w:id="16"/>
                </w:r>
              </w:p>
            </w:tc>
          </w:tr>
          <w:tr w:rsidR="009C64D3" w14:paraId="7B35DCBF" w14:textId="77777777">
            <w:trPr>
              <w:trHeight w:val="285"/>
            </w:trPr>
            <w:tc>
              <w:tcPr>
                <w:tcW w:w="1590" w:type="dxa"/>
                <w:tcBorders>
                  <w:top w:val="single" w:sz="6" w:space="0" w:color="000000"/>
                  <w:left w:val="single" w:sz="6" w:space="0" w:color="000000"/>
                  <w:bottom w:val="single" w:sz="6" w:space="0" w:color="000000"/>
                  <w:right w:val="single" w:sz="6" w:space="0" w:color="000000"/>
                </w:tcBorders>
                <w:shd w:val="clear" w:color="auto" w:fill="FFFFFF"/>
              </w:tcPr>
              <w:p w14:paraId="000001A1" w14:textId="77777777" w:rsidR="009C64D3" w:rsidRDefault="00000000">
                <w:pPr>
                  <w:spacing w:line="240" w:lineRule="auto"/>
                  <w:jc w:val="both"/>
                  <w:rPr>
                    <w:b/>
                    <w:bCs/>
                    <w:sz w:val="20"/>
                    <w:szCs w:val="20"/>
                  </w:rPr>
                </w:pPr>
                <w:r>
                  <w:rPr>
                    <w:b/>
                    <w:bCs/>
                    <w:sz w:val="20"/>
                    <w:szCs w:val="20"/>
                  </w:rPr>
                  <w:lastRenderedPageBreak/>
                  <w:t>Índice de Vegetación Resistente a la Atmósfera (ARVI)</w:t>
                </w:r>
              </w:p>
            </w:tc>
            <w:tc>
              <w:tcPr>
                <w:tcW w:w="5675" w:type="dxa"/>
                <w:tcBorders>
                  <w:top w:val="single" w:sz="6" w:space="0" w:color="000000"/>
                  <w:left w:val="single" w:sz="6" w:space="0" w:color="000000"/>
                  <w:bottom w:val="single" w:sz="6" w:space="0" w:color="000000"/>
                  <w:right w:val="single" w:sz="6" w:space="0" w:color="000000"/>
                </w:tcBorders>
                <w:shd w:val="clear" w:color="auto" w:fill="FFFFFF"/>
              </w:tcPr>
              <w:p w14:paraId="000001A2" w14:textId="77777777" w:rsidR="009C64D3" w:rsidRDefault="00000000">
                <w:pPr>
                  <w:spacing w:after="240" w:line="240" w:lineRule="auto"/>
                  <w:jc w:val="both"/>
                  <w:rPr>
                    <w:sz w:val="20"/>
                    <w:szCs w:val="20"/>
                  </w:rPr>
                </w:pPr>
                <w:r>
                  <w:rPr>
                    <w:sz w:val="20"/>
                    <w:szCs w:val="20"/>
                  </w:rPr>
                  <w:t>El Índice de Vegetación Resistente a la Atmósfera (ARVI) incorpora información de la banda azul para corregir los efectos de dispersión atmosférica que pueden influir sobre la reflectancia registrada en la banda roja.</w:t>
                </w:r>
              </w:p>
              <w:p w14:paraId="000001A3" w14:textId="77777777" w:rsidR="009C64D3" w:rsidRDefault="00000000">
                <w:pPr>
                  <w:spacing w:before="240" w:after="240" w:line="240" w:lineRule="auto"/>
                  <w:jc w:val="both"/>
                  <w:rPr>
                    <w:sz w:val="20"/>
                    <w:szCs w:val="20"/>
                  </w:rPr>
                </w:pPr>
                <w:r>
                  <w:rPr>
                    <w:sz w:val="20"/>
                    <w:szCs w:val="20"/>
                  </w:rPr>
                  <w:t>Su fórmula de cálculo es:</w:t>
                </w:r>
              </w:p>
              <w:p w14:paraId="000001A4" w14:textId="77777777" w:rsidR="009C64D3" w:rsidRDefault="00000000">
                <w:pPr>
                  <w:spacing w:before="240" w:after="240" w:line="240" w:lineRule="auto"/>
                  <w:jc w:val="both"/>
                  <w:rPr>
                    <w:b/>
                    <w:bCs/>
                    <w:sz w:val="20"/>
                    <w:szCs w:val="20"/>
                  </w:rPr>
                </w:pPr>
                <w:r>
                  <w:rPr>
                    <w:b/>
                    <w:bCs/>
                    <w:sz w:val="20"/>
                    <w:szCs w:val="20"/>
                  </w:rPr>
                  <w:t>ARVI = [NIR – (2 × ROJO) + AZUL] / [NIR + (2 × ROJO) + AZUL]</w:t>
                </w:r>
              </w:p>
              <w:p w14:paraId="000001A5" w14:textId="77777777" w:rsidR="009C64D3" w:rsidRDefault="00000000">
                <w:pPr>
                  <w:spacing w:before="240" w:line="240" w:lineRule="auto"/>
                  <w:jc w:val="both"/>
                  <w:rPr>
                    <w:sz w:val="20"/>
                    <w:szCs w:val="20"/>
                  </w:rPr>
                </w:pPr>
                <w:r>
                  <w:rPr>
                    <w:sz w:val="20"/>
                    <w:szCs w:val="20"/>
                  </w:rPr>
                  <w:t>Su utilización se orienta especialmente a condiciones con presencia de aerosoles atmosféricos, como polvo, humo, niebla o contaminación del aire (Alonso, 2020).</w:t>
                </w:r>
              </w:p>
            </w:tc>
            <w:tc>
              <w:tcPr>
                <w:tcW w:w="2739" w:type="dxa"/>
                <w:tcBorders>
                  <w:top w:val="single" w:sz="6" w:space="0" w:color="000000"/>
                  <w:left w:val="single" w:sz="6" w:space="0" w:color="000000"/>
                  <w:bottom w:val="single" w:sz="6" w:space="0" w:color="000000"/>
                  <w:right w:val="single" w:sz="6" w:space="0" w:color="000000"/>
                </w:tcBorders>
                <w:shd w:val="clear" w:color="auto" w:fill="FFFFFF"/>
              </w:tcPr>
              <w:p w14:paraId="000001A6" w14:textId="77777777" w:rsidR="009C64D3" w:rsidRDefault="00000000">
                <w:pPr>
                  <w:jc w:val="both"/>
                  <w:rPr>
                    <w:b/>
                    <w:bCs/>
                    <w:sz w:val="20"/>
                    <w:szCs w:val="20"/>
                  </w:rPr>
                </w:pPr>
                <w:sdt>
                  <w:sdtPr>
                    <w:tag w:val="goog_rdk_18"/>
                    <w:id w:val="2007553264"/>
                  </w:sdtPr>
                  <w:sdtContent>
                    <w:commentRangeStart w:id="17"/>
                  </w:sdtContent>
                </w:sdt>
                <w:r>
                  <w:rPr>
                    <w:noProof/>
                    <w:color w:val="333333"/>
                    <w:sz w:val="20"/>
                    <w:szCs w:val="20"/>
                  </w:rPr>
                  <w:drawing>
                    <wp:inline distT="0" distB="0" distL="0" distR="0" wp14:anchorId="7C6F968E" wp14:editId="5FEFC291">
                      <wp:extent cx="1733550" cy="1041400"/>
                      <wp:effectExtent l="0" t="0" r="0" b="0"/>
                      <wp:docPr id="13887580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5"/>
                              <a:srcRect/>
                              <a:stretch>
                                <a:fillRect/>
                              </a:stretch>
                            </pic:blipFill>
                            <pic:spPr>
                              <a:xfrm>
                                <a:off x="0" y="0"/>
                                <a:ext cx="1733550" cy="1041400"/>
                              </a:xfrm>
                              <a:prstGeom prst="rect">
                                <a:avLst/>
                              </a:prstGeom>
                              <a:ln/>
                            </pic:spPr>
                          </pic:pic>
                        </a:graphicData>
                      </a:graphic>
                    </wp:inline>
                  </w:drawing>
                </w:r>
                <w:commentRangeEnd w:id="17"/>
                <w:r>
                  <w:rPr>
                    <w:rStyle w:val="Refdecomentario"/>
                    <w:b/>
                    <w:bCs/>
                    <w:sz w:val="20"/>
                    <w:szCs w:val="20"/>
                  </w:rPr>
                  <w:commentReference w:id="17"/>
                </w:r>
              </w:p>
            </w:tc>
          </w:tr>
          <w:tr w:rsidR="009C64D3" w14:paraId="49BA86D0" w14:textId="77777777">
            <w:trPr>
              <w:trHeight w:val="285"/>
            </w:trPr>
            <w:tc>
              <w:tcPr>
                <w:tcW w:w="1590" w:type="dxa"/>
                <w:tcBorders>
                  <w:top w:val="single" w:sz="6" w:space="0" w:color="000000"/>
                  <w:left w:val="single" w:sz="6" w:space="0" w:color="000000"/>
                  <w:bottom w:val="single" w:sz="6" w:space="0" w:color="000000"/>
                  <w:right w:val="single" w:sz="6" w:space="0" w:color="000000"/>
                </w:tcBorders>
                <w:shd w:val="clear" w:color="auto" w:fill="FFFFFF"/>
              </w:tcPr>
              <w:p w14:paraId="000001A7" w14:textId="77777777" w:rsidR="009C64D3" w:rsidRDefault="00000000">
                <w:pPr>
                  <w:spacing w:line="240" w:lineRule="auto"/>
                  <w:jc w:val="both"/>
                  <w:rPr>
                    <w:b/>
                    <w:bCs/>
                    <w:sz w:val="20"/>
                    <w:szCs w:val="20"/>
                  </w:rPr>
                </w:pPr>
                <w:r>
                  <w:rPr>
                    <w:b/>
                    <w:bCs/>
                    <w:sz w:val="20"/>
                    <w:szCs w:val="20"/>
                  </w:rPr>
                  <w:t xml:space="preserve">Índice de Clorofila Verde (GCI) </w:t>
                </w:r>
              </w:p>
            </w:tc>
            <w:tc>
              <w:tcPr>
                <w:tcW w:w="5675" w:type="dxa"/>
                <w:tcBorders>
                  <w:top w:val="single" w:sz="6" w:space="0" w:color="000000"/>
                  <w:left w:val="single" w:sz="6" w:space="0" w:color="000000"/>
                  <w:bottom w:val="single" w:sz="6" w:space="0" w:color="000000"/>
                  <w:right w:val="single" w:sz="6" w:space="0" w:color="000000"/>
                </w:tcBorders>
                <w:shd w:val="clear" w:color="auto" w:fill="FFFFFF"/>
              </w:tcPr>
              <w:p w14:paraId="000001A8" w14:textId="77777777" w:rsidR="009C64D3" w:rsidRDefault="00000000">
                <w:pPr>
                  <w:spacing w:after="240" w:line="240" w:lineRule="auto"/>
                  <w:jc w:val="both"/>
                  <w:rPr>
                    <w:sz w:val="20"/>
                    <w:szCs w:val="20"/>
                  </w:rPr>
                </w:pPr>
                <w:r>
                  <w:rPr>
                    <w:sz w:val="20"/>
                    <w:szCs w:val="20"/>
                  </w:rPr>
                  <w:t>El Índice de Clorofila Verde (GCI) permite estimar el contenido de clorofila de las hojas. Las variaciones de este pigmento proporcionan información relacionada con el estado fisiológico y el vigor de la vegetación.</w:t>
                </w:r>
              </w:p>
              <w:p w14:paraId="000001A9" w14:textId="77777777" w:rsidR="009C64D3" w:rsidRDefault="00000000">
                <w:pPr>
                  <w:spacing w:before="240" w:after="240" w:line="240" w:lineRule="auto"/>
                  <w:jc w:val="both"/>
                  <w:rPr>
                    <w:sz w:val="20"/>
                    <w:szCs w:val="20"/>
                  </w:rPr>
                </w:pPr>
                <w:r>
                  <w:rPr>
                    <w:sz w:val="20"/>
                    <w:szCs w:val="20"/>
                  </w:rPr>
                  <w:t>Su fórmula de cálculo es:</w:t>
                </w:r>
              </w:p>
              <w:p w14:paraId="000001AA" w14:textId="77777777" w:rsidR="009C64D3" w:rsidRDefault="00000000">
                <w:pPr>
                  <w:spacing w:before="240" w:after="240" w:line="240" w:lineRule="auto"/>
                  <w:jc w:val="both"/>
                  <w:rPr>
                    <w:b/>
                    <w:bCs/>
                    <w:sz w:val="20"/>
                    <w:szCs w:val="20"/>
                  </w:rPr>
                </w:pPr>
                <w:r>
                  <w:rPr>
                    <w:b/>
                    <w:bCs/>
                    <w:sz w:val="20"/>
                    <w:szCs w:val="20"/>
                  </w:rPr>
                  <w:t>GCI = (NIR / GREEN) – 1</w:t>
                </w:r>
              </w:p>
              <w:p w14:paraId="000001AB" w14:textId="77777777" w:rsidR="009C64D3" w:rsidRDefault="00000000">
                <w:pPr>
                  <w:spacing w:before="240" w:line="240" w:lineRule="auto"/>
                  <w:jc w:val="both"/>
                  <w:rPr>
                    <w:sz w:val="20"/>
                    <w:szCs w:val="20"/>
                  </w:rPr>
                </w:pPr>
                <w:r>
                  <w:rPr>
                    <w:sz w:val="20"/>
                    <w:szCs w:val="20"/>
                  </w:rPr>
                  <w:t>Este índice puede emplearse para realizar seguimiento a efectos relacionados con la estacionalidad, el estrés ambiental y las condiciones de la vegetación (Alonso, 2020).</w:t>
                </w:r>
              </w:p>
            </w:tc>
            <w:tc>
              <w:tcPr>
                <w:tcW w:w="2739" w:type="dxa"/>
                <w:tcBorders>
                  <w:top w:val="single" w:sz="6" w:space="0" w:color="000000"/>
                  <w:left w:val="single" w:sz="6" w:space="0" w:color="000000"/>
                  <w:bottom w:val="single" w:sz="6" w:space="0" w:color="000000"/>
                  <w:right w:val="single" w:sz="6" w:space="0" w:color="000000"/>
                </w:tcBorders>
                <w:shd w:val="clear" w:color="auto" w:fill="FFFFFF"/>
              </w:tcPr>
              <w:p w14:paraId="000001AC" w14:textId="77777777" w:rsidR="009C64D3" w:rsidRDefault="00000000">
                <w:pPr>
                  <w:jc w:val="both"/>
                  <w:rPr>
                    <w:b/>
                    <w:bCs/>
                    <w:sz w:val="20"/>
                    <w:szCs w:val="20"/>
                  </w:rPr>
                </w:pPr>
                <w:sdt>
                  <w:sdtPr>
                    <w:tag w:val="goog_rdk_19"/>
                    <w:id w:val="418051190"/>
                  </w:sdtPr>
                  <w:sdtContent>
                    <w:commentRangeStart w:id="18"/>
                  </w:sdtContent>
                </w:sdt>
                <w:r>
                  <w:rPr>
                    <w:noProof/>
                    <w:color w:val="333333"/>
                    <w:sz w:val="20"/>
                    <w:szCs w:val="20"/>
                  </w:rPr>
                  <w:drawing>
                    <wp:inline distT="0" distB="0" distL="0" distR="0" wp14:anchorId="0C080D9F" wp14:editId="2BFF312E">
                      <wp:extent cx="1733550" cy="1079500"/>
                      <wp:effectExtent l="0" t="0" r="0" b="0"/>
                      <wp:docPr id="13887580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6"/>
                              <a:srcRect/>
                              <a:stretch>
                                <a:fillRect/>
                              </a:stretch>
                            </pic:blipFill>
                            <pic:spPr>
                              <a:xfrm>
                                <a:off x="0" y="0"/>
                                <a:ext cx="1733550" cy="1079500"/>
                              </a:xfrm>
                              <a:prstGeom prst="rect">
                                <a:avLst/>
                              </a:prstGeom>
                              <a:ln/>
                            </pic:spPr>
                          </pic:pic>
                        </a:graphicData>
                      </a:graphic>
                    </wp:inline>
                  </w:drawing>
                </w:r>
                <w:commentRangeEnd w:id="18"/>
                <w:r>
                  <w:rPr>
                    <w:rStyle w:val="Refdecomentario"/>
                    <w:b/>
                    <w:bCs/>
                    <w:sz w:val="20"/>
                    <w:szCs w:val="20"/>
                  </w:rPr>
                  <w:commentReference w:id="18"/>
                </w:r>
              </w:p>
            </w:tc>
          </w:tr>
          <w:tr w:rsidR="009C64D3" w14:paraId="13FFF630" w14:textId="77777777">
            <w:trPr>
              <w:trHeight w:val="285"/>
            </w:trPr>
            <w:tc>
              <w:tcPr>
                <w:tcW w:w="1590" w:type="dxa"/>
                <w:tcBorders>
                  <w:top w:val="single" w:sz="6" w:space="0" w:color="000000"/>
                  <w:left w:val="single" w:sz="6" w:space="0" w:color="000000"/>
                  <w:bottom w:val="single" w:sz="6" w:space="0" w:color="000000"/>
                  <w:right w:val="single" w:sz="6" w:space="0" w:color="000000"/>
                </w:tcBorders>
                <w:shd w:val="clear" w:color="auto" w:fill="FFFFFF"/>
              </w:tcPr>
              <w:p w14:paraId="000001AD" w14:textId="77777777" w:rsidR="009C64D3" w:rsidRDefault="00000000">
                <w:pPr>
                  <w:spacing w:line="240" w:lineRule="auto"/>
                  <w:jc w:val="both"/>
                  <w:rPr>
                    <w:b/>
                    <w:bCs/>
                    <w:sz w:val="20"/>
                    <w:szCs w:val="20"/>
                  </w:rPr>
                </w:pPr>
                <w:r>
                  <w:rPr>
                    <w:b/>
                    <w:bCs/>
                    <w:sz w:val="20"/>
                    <w:szCs w:val="20"/>
                  </w:rPr>
                  <w:t xml:space="preserve">Índice de Pigmentación Insensible a la Estructura (SIPI) </w:t>
                </w:r>
              </w:p>
            </w:tc>
            <w:tc>
              <w:tcPr>
                <w:tcW w:w="5675" w:type="dxa"/>
                <w:tcBorders>
                  <w:top w:val="single" w:sz="6" w:space="0" w:color="000000"/>
                  <w:left w:val="single" w:sz="6" w:space="0" w:color="000000"/>
                  <w:bottom w:val="single" w:sz="6" w:space="0" w:color="000000"/>
                  <w:right w:val="single" w:sz="6" w:space="0" w:color="000000"/>
                </w:tcBorders>
                <w:shd w:val="clear" w:color="auto" w:fill="FFFFFF"/>
              </w:tcPr>
              <w:p w14:paraId="000001AE" w14:textId="77777777" w:rsidR="009C64D3" w:rsidRDefault="00000000">
                <w:pPr>
                  <w:spacing w:after="240" w:line="240" w:lineRule="auto"/>
                  <w:jc w:val="both"/>
                  <w:rPr>
                    <w:sz w:val="20"/>
                    <w:szCs w:val="20"/>
                  </w:rPr>
                </w:pPr>
                <w:r>
                  <w:rPr>
                    <w:sz w:val="20"/>
                    <w:szCs w:val="20"/>
                  </w:rPr>
                  <w:t>El Índice de Pigmentación Insensible a la Estructura (SIPI) permite analizar la relación entre carotenoides y clorofila en coberturas que presentan variaciones en la estructura del dosel.</w:t>
                </w:r>
              </w:p>
              <w:p w14:paraId="000001AF" w14:textId="77777777" w:rsidR="009C64D3" w:rsidRDefault="00000000">
                <w:pPr>
                  <w:spacing w:before="240" w:after="240" w:line="240" w:lineRule="auto"/>
                  <w:jc w:val="both"/>
                  <w:rPr>
                    <w:sz w:val="20"/>
                    <w:szCs w:val="20"/>
                  </w:rPr>
                </w:pPr>
                <w:r>
                  <w:rPr>
                    <w:sz w:val="20"/>
                    <w:szCs w:val="20"/>
                  </w:rPr>
                  <w:t>Su fórmula de cálculo es:</w:t>
                </w:r>
              </w:p>
              <w:p w14:paraId="000001B0" w14:textId="77777777" w:rsidR="009C64D3" w:rsidRDefault="00000000">
                <w:pPr>
                  <w:spacing w:before="240" w:after="240" w:line="240" w:lineRule="auto"/>
                  <w:jc w:val="both"/>
                  <w:rPr>
                    <w:b/>
                    <w:bCs/>
                    <w:sz w:val="20"/>
                    <w:szCs w:val="20"/>
                  </w:rPr>
                </w:pPr>
                <w:r>
                  <w:rPr>
                    <w:b/>
                    <w:bCs/>
                    <w:sz w:val="20"/>
                    <w:szCs w:val="20"/>
                  </w:rPr>
                  <w:t>SIPI = (NIR – BLUE) / (NIR – ROJO)</w:t>
                </w:r>
              </w:p>
              <w:p w14:paraId="000001B1" w14:textId="77777777" w:rsidR="009C64D3" w:rsidRDefault="00000000">
                <w:pPr>
                  <w:spacing w:before="240" w:line="240" w:lineRule="auto"/>
                  <w:jc w:val="both"/>
                  <w:rPr>
                    <w:sz w:val="20"/>
                    <w:szCs w:val="20"/>
                  </w:rPr>
                </w:pPr>
                <w:r>
                  <w:rPr>
                    <w:sz w:val="20"/>
                    <w:szCs w:val="20"/>
                  </w:rPr>
                  <w:t>Este índice puede utilizarse para monitorear condiciones de la vegetación en áreas con alta variabilidad estructural del dosel o del índice de área foliar, así como para apoyar la identificación temprana de condiciones asociadas con estrés vegetal (Alonso, 2020).</w:t>
                </w:r>
              </w:p>
            </w:tc>
            <w:tc>
              <w:tcPr>
                <w:tcW w:w="2739" w:type="dxa"/>
                <w:tcBorders>
                  <w:top w:val="single" w:sz="6" w:space="0" w:color="000000"/>
                  <w:left w:val="single" w:sz="6" w:space="0" w:color="000000"/>
                  <w:bottom w:val="single" w:sz="6" w:space="0" w:color="000000"/>
                  <w:right w:val="single" w:sz="6" w:space="0" w:color="000000"/>
                </w:tcBorders>
                <w:shd w:val="clear" w:color="auto" w:fill="FFFFFF"/>
              </w:tcPr>
              <w:p w14:paraId="000001B2" w14:textId="77777777" w:rsidR="009C64D3" w:rsidRDefault="00000000">
                <w:pPr>
                  <w:jc w:val="both"/>
                  <w:rPr>
                    <w:b/>
                    <w:bCs/>
                    <w:sz w:val="20"/>
                    <w:szCs w:val="20"/>
                  </w:rPr>
                </w:pPr>
                <w:sdt>
                  <w:sdtPr>
                    <w:tag w:val="goog_rdk_20"/>
                    <w:id w:val="-116669174"/>
                  </w:sdtPr>
                  <w:sdtContent>
                    <w:commentRangeStart w:id="19"/>
                  </w:sdtContent>
                </w:sdt>
                <w:r>
                  <w:rPr>
                    <w:noProof/>
                    <w:color w:val="333333"/>
                    <w:sz w:val="20"/>
                    <w:szCs w:val="20"/>
                  </w:rPr>
                  <w:drawing>
                    <wp:inline distT="0" distB="0" distL="0" distR="0" wp14:anchorId="780E6FD3" wp14:editId="5CE4E1BE">
                      <wp:extent cx="1733550" cy="1117600"/>
                      <wp:effectExtent l="0" t="0" r="0" b="0"/>
                      <wp:docPr id="138875807" name="image24.gif"/>
                      <wp:cNvGraphicFramePr/>
                      <a:graphic xmlns:a="http://schemas.openxmlformats.org/drawingml/2006/main">
                        <a:graphicData uri="http://schemas.openxmlformats.org/drawingml/2006/picture">
                          <pic:pic xmlns:pic="http://schemas.openxmlformats.org/drawingml/2006/picture">
                            <pic:nvPicPr>
                              <pic:cNvPr id="0" name="image24.gif"/>
                              <pic:cNvPicPr preferRelativeResize="0"/>
                            </pic:nvPicPr>
                            <pic:blipFill>
                              <a:blip r:embed="rId57"/>
                              <a:srcRect/>
                              <a:stretch>
                                <a:fillRect/>
                              </a:stretch>
                            </pic:blipFill>
                            <pic:spPr>
                              <a:xfrm>
                                <a:off x="0" y="0"/>
                                <a:ext cx="1733550" cy="1117600"/>
                              </a:xfrm>
                              <a:prstGeom prst="rect">
                                <a:avLst/>
                              </a:prstGeom>
                              <a:ln/>
                            </pic:spPr>
                          </pic:pic>
                        </a:graphicData>
                      </a:graphic>
                    </wp:inline>
                  </w:drawing>
                </w:r>
                <w:commentRangeEnd w:id="19"/>
                <w:r>
                  <w:rPr>
                    <w:rStyle w:val="Refdecomentario"/>
                    <w:b/>
                    <w:bCs/>
                    <w:sz w:val="20"/>
                    <w:szCs w:val="20"/>
                  </w:rPr>
                  <w:commentReference w:id="19"/>
                </w:r>
              </w:p>
            </w:tc>
          </w:tr>
          <w:tr w:rsidR="009C64D3" w14:paraId="1FDA0E83" w14:textId="77777777">
            <w:trPr>
              <w:trHeight w:val="285"/>
            </w:trPr>
            <w:tc>
              <w:tcPr>
                <w:tcW w:w="1590" w:type="dxa"/>
                <w:tcBorders>
                  <w:top w:val="single" w:sz="6" w:space="0" w:color="000000"/>
                  <w:left w:val="single" w:sz="6" w:space="0" w:color="000000"/>
                  <w:bottom w:val="single" w:sz="6" w:space="0" w:color="000000"/>
                  <w:right w:val="single" w:sz="6" w:space="0" w:color="000000"/>
                </w:tcBorders>
                <w:shd w:val="clear" w:color="auto" w:fill="FFFFFF"/>
              </w:tcPr>
              <w:p w14:paraId="000001B3" w14:textId="77777777" w:rsidR="009C64D3" w:rsidRDefault="00000000">
                <w:pPr>
                  <w:spacing w:line="240" w:lineRule="auto"/>
                  <w:jc w:val="both"/>
                  <w:rPr>
                    <w:b/>
                    <w:bCs/>
                    <w:sz w:val="20"/>
                    <w:szCs w:val="20"/>
                  </w:rPr>
                </w:pPr>
                <w:r>
                  <w:rPr>
                    <w:b/>
                    <w:bCs/>
                    <w:sz w:val="20"/>
                    <w:szCs w:val="20"/>
                  </w:rPr>
                  <w:t xml:space="preserve">Índice de Calcinación Normalizado (NBR) </w:t>
                </w:r>
              </w:p>
            </w:tc>
            <w:tc>
              <w:tcPr>
                <w:tcW w:w="5675" w:type="dxa"/>
                <w:tcBorders>
                  <w:top w:val="single" w:sz="6" w:space="0" w:color="000000"/>
                  <w:left w:val="single" w:sz="6" w:space="0" w:color="000000"/>
                  <w:bottom w:val="single" w:sz="6" w:space="0" w:color="000000"/>
                  <w:right w:val="single" w:sz="6" w:space="0" w:color="000000"/>
                </w:tcBorders>
                <w:shd w:val="clear" w:color="auto" w:fill="FFFFFF"/>
              </w:tcPr>
              <w:p w14:paraId="000001B4" w14:textId="77777777" w:rsidR="009C64D3" w:rsidRDefault="00000000">
                <w:pPr>
                  <w:spacing w:after="240" w:line="240" w:lineRule="auto"/>
                  <w:jc w:val="both"/>
                  <w:rPr>
                    <w:sz w:val="20"/>
                    <w:szCs w:val="20"/>
                  </w:rPr>
                </w:pPr>
                <w:r>
                  <w:rPr>
                    <w:sz w:val="20"/>
                    <w:szCs w:val="20"/>
                  </w:rPr>
                  <w:t>El Índice de Calcinación Normalizado (NBR) utiliza las bandas del infrarrojo cercano (NIR) y del infrarrojo de onda corta (SWIR) para identificar áreas afectadas por incendios y analizar cambios relacionados con la vegetación quemada.</w:t>
                </w:r>
              </w:p>
              <w:p w14:paraId="000001B5" w14:textId="77777777" w:rsidR="009C64D3" w:rsidRDefault="00000000">
                <w:pPr>
                  <w:spacing w:before="240" w:after="240" w:line="240" w:lineRule="auto"/>
                  <w:jc w:val="both"/>
                  <w:rPr>
                    <w:sz w:val="20"/>
                    <w:szCs w:val="20"/>
                  </w:rPr>
                </w:pPr>
                <w:r>
                  <w:rPr>
                    <w:sz w:val="20"/>
                    <w:szCs w:val="20"/>
                  </w:rPr>
                  <w:t>Su fórmula de cálculo es:</w:t>
                </w:r>
              </w:p>
              <w:p w14:paraId="000001B6" w14:textId="77777777" w:rsidR="009C64D3" w:rsidRDefault="00000000">
                <w:pPr>
                  <w:spacing w:before="240" w:after="240" w:line="240" w:lineRule="auto"/>
                  <w:jc w:val="both"/>
                  <w:rPr>
                    <w:b/>
                    <w:bCs/>
                    <w:sz w:val="20"/>
                    <w:szCs w:val="20"/>
                  </w:rPr>
                </w:pPr>
                <w:r>
                  <w:rPr>
                    <w:b/>
                    <w:bCs/>
                    <w:sz w:val="20"/>
                    <w:szCs w:val="20"/>
                  </w:rPr>
                  <w:t>NBR = (NIR – SWIR) / (NIR + SWIR)</w:t>
                </w:r>
              </w:p>
              <w:p w14:paraId="000001B7" w14:textId="77777777" w:rsidR="009C64D3" w:rsidRDefault="00000000">
                <w:pPr>
                  <w:spacing w:before="240" w:line="240" w:lineRule="auto"/>
                  <w:jc w:val="both"/>
                  <w:rPr>
                    <w:sz w:val="20"/>
                    <w:szCs w:val="20"/>
                  </w:rPr>
                </w:pPr>
                <w:r>
                  <w:rPr>
                    <w:sz w:val="20"/>
                    <w:szCs w:val="20"/>
                  </w:rPr>
                  <w:t>En agricultura y silvicultura, puede utilizarse para identificar áreas afectadas por incendios, analizar la severidad de las zonas quemadas y realizar seguimiento a la recuperación de la vegetación (Alonso, 2020).</w:t>
                </w:r>
              </w:p>
            </w:tc>
            <w:tc>
              <w:tcPr>
                <w:tcW w:w="2739" w:type="dxa"/>
                <w:tcBorders>
                  <w:top w:val="single" w:sz="6" w:space="0" w:color="000000"/>
                  <w:left w:val="single" w:sz="6" w:space="0" w:color="000000"/>
                  <w:bottom w:val="single" w:sz="6" w:space="0" w:color="000000"/>
                  <w:right w:val="single" w:sz="6" w:space="0" w:color="000000"/>
                </w:tcBorders>
                <w:shd w:val="clear" w:color="auto" w:fill="FFFFFF"/>
              </w:tcPr>
              <w:p w14:paraId="000001B8" w14:textId="77777777" w:rsidR="009C64D3" w:rsidRDefault="00000000">
                <w:pPr>
                  <w:jc w:val="both"/>
                  <w:rPr>
                    <w:b/>
                    <w:bCs/>
                    <w:sz w:val="20"/>
                    <w:szCs w:val="20"/>
                  </w:rPr>
                </w:pPr>
                <w:sdt>
                  <w:sdtPr>
                    <w:tag w:val="goog_rdk_21"/>
                    <w:id w:val="1261281989"/>
                  </w:sdtPr>
                  <w:sdtContent>
                    <w:commentRangeStart w:id="20"/>
                  </w:sdtContent>
                </w:sdt>
                <w:r>
                  <w:rPr>
                    <w:noProof/>
                    <w:color w:val="333333"/>
                    <w:sz w:val="20"/>
                    <w:szCs w:val="20"/>
                  </w:rPr>
                  <w:drawing>
                    <wp:inline distT="0" distB="0" distL="0" distR="0" wp14:anchorId="53B52C09" wp14:editId="68673254">
                      <wp:extent cx="1733550" cy="520700"/>
                      <wp:effectExtent l="0" t="0" r="0" b="0"/>
                      <wp:docPr id="13887580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8"/>
                              <a:srcRect/>
                              <a:stretch>
                                <a:fillRect/>
                              </a:stretch>
                            </pic:blipFill>
                            <pic:spPr>
                              <a:xfrm>
                                <a:off x="0" y="0"/>
                                <a:ext cx="1733550" cy="520700"/>
                              </a:xfrm>
                              <a:prstGeom prst="rect">
                                <a:avLst/>
                              </a:prstGeom>
                              <a:ln/>
                            </pic:spPr>
                          </pic:pic>
                        </a:graphicData>
                      </a:graphic>
                    </wp:inline>
                  </w:drawing>
                </w:r>
                <w:commentRangeEnd w:id="20"/>
                <w:r>
                  <w:rPr>
                    <w:rStyle w:val="Refdecomentario"/>
                    <w:b/>
                    <w:bCs/>
                    <w:sz w:val="20"/>
                    <w:szCs w:val="20"/>
                  </w:rPr>
                  <w:commentReference w:id="20"/>
                </w:r>
              </w:p>
            </w:tc>
          </w:tr>
          <w:tr w:rsidR="009C64D3" w14:paraId="0B6B8392" w14:textId="77777777">
            <w:trPr>
              <w:trHeight w:val="285"/>
            </w:trPr>
            <w:tc>
              <w:tcPr>
                <w:tcW w:w="1590" w:type="dxa"/>
                <w:tcBorders>
                  <w:top w:val="single" w:sz="6" w:space="0" w:color="000000"/>
                  <w:left w:val="single" w:sz="6" w:space="0" w:color="000000"/>
                  <w:bottom w:val="single" w:sz="6" w:space="0" w:color="000000"/>
                  <w:right w:val="single" w:sz="6" w:space="0" w:color="000000"/>
                </w:tcBorders>
                <w:shd w:val="clear" w:color="auto" w:fill="FFFFFF"/>
              </w:tcPr>
              <w:p w14:paraId="000001B9" w14:textId="77777777" w:rsidR="009C64D3" w:rsidRDefault="00000000">
                <w:pPr>
                  <w:spacing w:line="240" w:lineRule="auto"/>
                  <w:jc w:val="both"/>
                  <w:rPr>
                    <w:b/>
                    <w:bCs/>
                    <w:sz w:val="20"/>
                    <w:szCs w:val="20"/>
                  </w:rPr>
                </w:pPr>
                <w:r>
                  <w:rPr>
                    <w:b/>
                    <w:bCs/>
                    <w:sz w:val="20"/>
                    <w:szCs w:val="20"/>
                  </w:rPr>
                  <w:lastRenderedPageBreak/>
                  <w:t>Diferencia del Índice de Calcinación Normalizado (dNBR)</w:t>
                </w:r>
              </w:p>
            </w:tc>
            <w:tc>
              <w:tcPr>
                <w:tcW w:w="5675" w:type="dxa"/>
                <w:tcBorders>
                  <w:top w:val="single" w:sz="6" w:space="0" w:color="000000"/>
                  <w:left w:val="single" w:sz="6" w:space="0" w:color="000000"/>
                  <w:bottom w:val="single" w:sz="6" w:space="0" w:color="000000"/>
                  <w:right w:val="single" w:sz="6" w:space="0" w:color="000000"/>
                </w:tcBorders>
                <w:shd w:val="clear" w:color="auto" w:fill="FFFFFF"/>
              </w:tcPr>
              <w:p w14:paraId="000001BA" w14:textId="77777777" w:rsidR="009C64D3" w:rsidRDefault="00000000">
                <w:pPr>
                  <w:spacing w:after="240" w:line="240" w:lineRule="auto"/>
                  <w:jc w:val="both"/>
                  <w:rPr>
                    <w:sz w:val="20"/>
                    <w:szCs w:val="20"/>
                  </w:rPr>
                </w:pPr>
                <w:r>
                  <w:rPr>
                    <w:sz w:val="20"/>
                    <w:szCs w:val="20"/>
                  </w:rPr>
                  <w:t xml:space="preserve">El dNBR permite comparar imágenes obtenidas antes y después de un incendio para analizar los cambios asociados con la severidad del área afectada. Para una valoración más precisa, los resultados pueden contrastarse con mediciones realizadas </w:t>
                </w:r>
                <w:r>
                  <w:rPr>
                    <w:i/>
                    <w:iCs/>
                    <w:sz w:val="20"/>
                    <w:szCs w:val="20"/>
                  </w:rPr>
                  <w:t>in situ</w:t>
                </w:r>
                <w:r>
                  <w:rPr>
                    <w:sz w:val="20"/>
                    <w:szCs w:val="20"/>
                  </w:rPr>
                  <w:t>. Asimismo, el cálculo de NBR y dNBR en imágenes adquiridas varios meses después permite realizar seguimiento a la recuperación de la vegetación.</w:t>
                </w:r>
              </w:p>
            </w:tc>
            <w:tc>
              <w:tcPr>
                <w:tcW w:w="2739" w:type="dxa"/>
                <w:tcBorders>
                  <w:top w:val="single" w:sz="6" w:space="0" w:color="000000"/>
                  <w:left w:val="single" w:sz="6" w:space="0" w:color="000000"/>
                  <w:bottom w:val="single" w:sz="6" w:space="0" w:color="000000"/>
                  <w:right w:val="single" w:sz="6" w:space="0" w:color="000000"/>
                </w:tcBorders>
                <w:shd w:val="clear" w:color="auto" w:fill="FFFFFF"/>
              </w:tcPr>
              <w:p w14:paraId="000001BB" w14:textId="77777777" w:rsidR="009C64D3" w:rsidRDefault="00000000">
                <w:pPr>
                  <w:spacing w:line="240" w:lineRule="auto"/>
                  <w:jc w:val="center"/>
                  <w:rPr>
                    <w:b/>
                    <w:bCs/>
                    <w:sz w:val="20"/>
                    <w:szCs w:val="20"/>
                  </w:rPr>
                </w:pPr>
                <w:r>
                  <w:rPr>
                    <w:noProof/>
                    <w:sz w:val="20"/>
                    <w:szCs w:val="20"/>
                  </w:rPr>
                  <w:drawing>
                    <wp:inline distT="114300" distB="114300" distL="114300" distR="114300" wp14:anchorId="5A02B148" wp14:editId="3457FF28">
                      <wp:extent cx="1704975" cy="952500"/>
                      <wp:effectExtent l="0" t="0" r="0" b="0"/>
                      <wp:docPr id="1388758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9"/>
                              <a:srcRect/>
                              <a:stretch>
                                <a:fillRect/>
                              </a:stretch>
                            </pic:blipFill>
                            <pic:spPr>
                              <a:xfrm>
                                <a:off x="0" y="0"/>
                                <a:ext cx="1704975" cy="952500"/>
                              </a:xfrm>
                              <a:prstGeom prst="rect">
                                <a:avLst/>
                              </a:prstGeom>
                              <a:ln/>
                            </pic:spPr>
                          </pic:pic>
                        </a:graphicData>
                      </a:graphic>
                    </wp:inline>
                  </w:drawing>
                </w:r>
              </w:p>
            </w:tc>
          </w:tr>
        </w:tbl>
      </w:sdtContent>
    </w:sdt>
    <w:p w14:paraId="000001BC" w14:textId="77777777" w:rsidR="009C64D3" w:rsidRDefault="009C64D3">
      <w:pPr>
        <w:spacing w:line="240" w:lineRule="auto"/>
        <w:jc w:val="both"/>
        <w:rPr>
          <w:sz w:val="20"/>
          <w:szCs w:val="20"/>
        </w:rPr>
      </w:pPr>
    </w:p>
    <w:p w14:paraId="000001BD" w14:textId="77777777" w:rsidR="009C64D3" w:rsidRDefault="00000000">
      <w:pPr>
        <w:pStyle w:val="Ttulo2"/>
        <w:spacing w:after="160"/>
        <w:jc w:val="both"/>
        <w:rPr>
          <w:b/>
          <w:bCs/>
          <w:sz w:val="20"/>
          <w:szCs w:val="20"/>
        </w:rPr>
      </w:pPr>
      <w:bookmarkStart w:id="21" w:name="_heading=h.eo7za2nwqztu" w:colFirst="0" w:colLast="0"/>
      <w:bookmarkEnd w:id="21"/>
      <w:r>
        <w:rPr>
          <w:b/>
          <w:bCs/>
          <w:sz w:val="20"/>
          <w:szCs w:val="20"/>
        </w:rPr>
        <w:t>3.3 Herramientas para el cálculo de índices de vegetación</w:t>
      </w:r>
    </w:p>
    <w:p w14:paraId="000001BE" w14:textId="77777777" w:rsidR="009C64D3" w:rsidRDefault="00000000">
      <w:pPr>
        <w:spacing w:after="160"/>
        <w:jc w:val="both"/>
        <w:rPr>
          <w:sz w:val="20"/>
          <w:szCs w:val="20"/>
        </w:rPr>
      </w:pPr>
      <w:r>
        <w:rPr>
          <w:sz w:val="20"/>
          <w:szCs w:val="20"/>
        </w:rPr>
        <w:t>El cálculo de índices de vegetación puede realizarse mediante herramientas de procesamiento geoespacial que incorporan algoritmos específicos o permiten efectuar operaciones entre bandas espectrales. Estas alternativas facilitan el procesamiento de imágenes y la obtención de índices como NDVI, EVI, SAVI, ARVI y NBR (Alonso, 2020).</w:t>
      </w:r>
    </w:p>
    <w:p w14:paraId="000001BF" w14:textId="77777777" w:rsidR="009C64D3" w:rsidRDefault="00000000">
      <w:pPr>
        <w:spacing w:after="160"/>
        <w:jc w:val="both"/>
        <w:rPr>
          <w:sz w:val="20"/>
          <w:szCs w:val="20"/>
        </w:rPr>
      </w:pPr>
      <w:r>
        <w:rPr>
          <w:sz w:val="20"/>
          <w:szCs w:val="20"/>
        </w:rPr>
        <w:t>Las principales herramientas empleadas para el cálculo de índices de vegetación se presentan a continuación:</w:t>
      </w:r>
    </w:p>
    <w:p w14:paraId="000001C0" w14:textId="77777777" w:rsidR="009C64D3" w:rsidRDefault="009C64D3">
      <w:pPr>
        <w:spacing w:line="240" w:lineRule="auto"/>
        <w:jc w:val="both"/>
        <w:rPr>
          <w:sz w:val="20"/>
          <w:szCs w:val="20"/>
        </w:rPr>
      </w:pPr>
    </w:p>
    <w:sdt>
      <w:sdtPr>
        <w:tag w:val="goog_rdk_25"/>
        <w:id w:val="-1525343960"/>
        <w:lock w:val="contentLocked"/>
      </w:sdtPr>
      <w:sdtContent>
        <w:tbl>
          <w:tblPr>
            <w:tblStyle w:val="afffffff9"/>
            <w:tblW w:w="988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85"/>
            <w:gridCol w:w="5400"/>
            <w:gridCol w:w="2700"/>
          </w:tblGrid>
          <w:tr w:rsidR="009C64D3" w14:paraId="36A3328F" w14:textId="77777777">
            <w:trPr>
              <w:trHeight w:val="285"/>
            </w:trPr>
            <w:tc>
              <w:tcPr>
                <w:tcW w:w="988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1C1" w14:textId="77777777" w:rsidR="009C64D3" w:rsidRDefault="00000000">
                <w:pPr>
                  <w:spacing w:line="240" w:lineRule="auto"/>
                  <w:jc w:val="center"/>
                  <w:rPr>
                    <w:rFonts w:ascii="Times New Roman" w:eastAsia="Times New Roman" w:hAnsi="Times New Roman" w:cs="Times New Roman"/>
                    <w:b/>
                    <w:bCs/>
                    <w:sz w:val="20"/>
                    <w:szCs w:val="20"/>
                  </w:rPr>
                </w:pPr>
                <w:r>
                  <w:rPr>
                    <w:b/>
                    <w:bCs/>
                    <w:sz w:val="20"/>
                    <w:szCs w:val="20"/>
                  </w:rPr>
                  <w:t>Pestañas</w:t>
                </w:r>
              </w:p>
            </w:tc>
          </w:tr>
          <w:tr w:rsidR="009C64D3" w14:paraId="2DD76C78"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C4" w14:textId="77777777" w:rsidR="009C64D3" w:rsidRDefault="00000000">
                <w:pPr>
                  <w:spacing w:line="240" w:lineRule="auto"/>
                  <w:jc w:val="both"/>
                  <w:rPr>
                    <w:b/>
                    <w:bCs/>
                    <w:sz w:val="20"/>
                    <w:szCs w:val="20"/>
                  </w:rPr>
                </w:pPr>
                <w:r>
                  <w:rPr>
                    <w:b/>
                    <w:bCs/>
                    <w:i/>
                    <w:iCs/>
                    <w:sz w:val="20"/>
                    <w:szCs w:val="20"/>
                  </w:rPr>
                  <w:t>Geographic Resources Analysis Support System</w:t>
                </w:r>
                <w:r>
                  <w:rPr>
                    <w:b/>
                    <w:bCs/>
                    <w:sz w:val="20"/>
                    <w:szCs w:val="20"/>
                  </w:rPr>
                  <w:t xml:space="preserve"> (GRASS GIS) </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C5" w14:textId="77777777" w:rsidR="009C64D3" w:rsidRDefault="00000000">
                <w:pPr>
                  <w:spacing w:after="240" w:line="240" w:lineRule="auto"/>
                  <w:jc w:val="both"/>
                  <w:rPr>
                    <w:sz w:val="20"/>
                    <w:szCs w:val="20"/>
                  </w:rPr>
                </w:pPr>
                <w:r>
                  <w:rPr>
                    <w:sz w:val="20"/>
                    <w:szCs w:val="20"/>
                  </w:rPr>
                  <w:t xml:space="preserve">GRASS GIS dispone del módulo </w:t>
                </w:r>
                <w:r>
                  <w:rPr>
                    <w:b/>
                    <w:bCs/>
                    <w:sz w:val="20"/>
                    <w:szCs w:val="20"/>
                  </w:rPr>
                  <w:t>i.vi</w:t>
                </w:r>
                <w:r>
                  <w:rPr>
                    <w:sz w:val="20"/>
                    <w:szCs w:val="20"/>
                  </w:rPr>
                  <w:t>, mediante el cual pueden calcularse diferentes índices de vegetación.</w:t>
                </w:r>
              </w:p>
              <w:p w14:paraId="000001C6" w14:textId="77777777" w:rsidR="009C64D3" w:rsidRDefault="00000000">
                <w:pPr>
                  <w:spacing w:before="240" w:line="240" w:lineRule="auto"/>
                  <w:jc w:val="both"/>
                  <w:rPr>
                    <w:sz w:val="20"/>
                    <w:szCs w:val="20"/>
                  </w:rPr>
                </w:pPr>
                <w:r>
                  <w:rPr>
                    <w:sz w:val="20"/>
                    <w:szCs w:val="20"/>
                  </w:rPr>
                  <w:t>Los índices disponibles mediante este módulo incluyen, entre otros, ARVI, DVI, EVI, EVI2, GVI, GARI, GEMI, IPVI, MSAVI, MSAVI2, NDVI, NDWI, PVI, SAVI, SR, VARI y WDVI (Alonso, 2020).</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C7" w14:textId="77777777" w:rsidR="009C64D3" w:rsidRDefault="00000000">
                <w:pPr>
                  <w:spacing w:line="240" w:lineRule="auto"/>
                  <w:jc w:val="center"/>
                  <w:rPr>
                    <w:sz w:val="20"/>
                    <w:szCs w:val="20"/>
                  </w:rPr>
                </w:pPr>
                <w:r>
                  <w:rPr>
                    <w:noProof/>
                    <w:sz w:val="20"/>
                    <w:szCs w:val="20"/>
                  </w:rPr>
                  <w:drawing>
                    <wp:inline distT="114300" distB="114300" distL="114300" distR="114300" wp14:anchorId="2EE47FDE" wp14:editId="0F0A356D">
                      <wp:extent cx="1704975" cy="673100"/>
                      <wp:effectExtent l="0" t="0" r="0" b="0"/>
                      <wp:docPr id="1388758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0"/>
                              <a:srcRect/>
                              <a:stretch>
                                <a:fillRect/>
                              </a:stretch>
                            </pic:blipFill>
                            <pic:spPr>
                              <a:xfrm>
                                <a:off x="0" y="0"/>
                                <a:ext cx="1704975" cy="673100"/>
                              </a:xfrm>
                              <a:prstGeom prst="rect">
                                <a:avLst/>
                              </a:prstGeom>
                              <a:ln/>
                            </pic:spPr>
                          </pic:pic>
                        </a:graphicData>
                      </a:graphic>
                    </wp:inline>
                  </w:drawing>
                </w:r>
              </w:p>
            </w:tc>
          </w:tr>
          <w:tr w:rsidR="009C64D3" w14:paraId="3C690D3D"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C8" w14:textId="77777777" w:rsidR="009C64D3" w:rsidRDefault="00000000">
                <w:pPr>
                  <w:pStyle w:val="Ttulo3"/>
                  <w:keepNext w:val="0"/>
                  <w:keepLines w:val="0"/>
                  <w:spacing w:before="280" w:after="0" w:line="240" w:lineRule="auto"/>
                  <w:jc w:val="both"/>
                  <w:rPr>
                    <w:b/>
                    <w:bCs/>
                    <w:color w:val="000000"/>
                    <w:sz w:val="20"/>
                    <w:szCs w:val="20"/>
                  </w:rPr>
                </w:pPr>
                <w:bookmarkStart w:id="22" w:name="_heading=h.z2alc0q6uzr8" w:colFirst="0" w:colLast="0"/>
                <w:bookmarkEnd w:id="22"/>
                <w:r>
                  <w:rPr>
                    <w:b/>
                    <w:bCs/>
                    <w:i/>
                    <w:iCs/>
                    <w:color w:val="000000"/>
                    <w:sz w:val="20"/>
                    <w:szCs w:val="20"/>
                  </w:rPr>
                  <w:t>System for Automated Geoscientific Analyses</w:t>
                </w:r>
                <w:r>
                  <w:rPr>
                    <w:b/>
                    <w:bCs/>
                    <w:color w:val="000000"/>
                    <w:sz w:val="20"/>
                    <w:szCs w:val="20"/>
                  </w:rPr>
                  <w:t xml:space="preserve"> (SAGA GIS)</w:t>
                </w:r>
              </w:p>
              <w:p w14:paraId="000001C9" w14:textId="77777777" w:rsidR="009C64D3" w:rsidRDefault="009C64D3">
                <w:pPr>
                  <w:spacing w:line="240" w:lineRule="auto"/>
                  <w:jc w:val="both"/>
                  <w:rPr>
                    <w:b/>
                    <w:bCs/>
                    <w:sz w:val="20"/>
                    <w:szCs w:val="20"/>
                  </w:rP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CA" w14:textId="77777777" w:rsidR="009C64D3" w:rsidRDefault="00000000">
                <w:pPr>
                  <w:spacing w:line="240" w:lineRule="auto"/>
                  <w:jc w:val="both"/>
                  <w:rPr>
                    <w:sz w:val="20"/>
                    <w:szCs w:val="20"/>
                  </w:rPr>
                </w:pPr>
                <w:r>
                  <w:rPr>
                    <w:sz w:val="20"/>
                    <w:szCs w:val="20"/>
                  </w:rPr>
                  <w:t xml:space="preserve">SAGA GIS incorpora herramientas destinadas al procesamiento de información ráster y dispone del algoritmo </w:t>
                </w:r>
                <w:r>
                  <w:rPr>
                    <w:b/>
                    <w:bCs/>
                    <w:sz w:val="20"/>
                    <w:szCs w:val="20"/>
                  </w:rPr>
                  <w:t>Vegetation Index</w:t>
                </w:r>
                <w:r>
                  <w:rPr>
                    <w:sz w:val="20"/>
                    <w:szCs w:val="20"/>
                  </w:rPr>
                  <w:t xml:space="preserve"> para el cálculo de índices relacionados con la cobertura vegetal (Alonso, 2020).</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CB" w14:textId="77777777" w:rsidR="009C64D3" w:rsidRDefault="00000000">
                <w:pPr>
                  <w:spacing w:line="240" w:lineRule="auto"/>
                  <w:jc w:val="center"/>
                  <w:rPr>
                    <w:sz w:val="20"/>
                    <w:szCs w:val="20"/>
                  </w:rPr>
                </w:pPr>
                <w:r>
                  <w:rPr>
                    <w:noProof/>
                    <w:sz w:val="20"/>
                    <w:szCs w:val="20"/>
                  </w:rPr>
                  <w:drawing>
                    <wp:inline distT="114300" distB="114300" distL="114300" distR="114300" wp14:anchorId="15B05EE8" wp14:editId="2A35A8A0">
                      <wp:extent cx="1704975" cy="952500"/>
                      <wp:effectExtent l="0" t="0" r="0" b="0"/>
                      <wp:docPr id="1388758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1"/>
                              <a:srcRect/>
                              <a:stretch>
                                <a:fillRect/>
                              </a:stretch>
                            </pic:blipFill>
                            <pic:spPr>
                              <a:xfrm>
                                <a:off x="0" y="0"/>
                                <a:ext cx="1704975" cy="952500"/>
                              </a:xfrm>
                              <a:prstGeom prst="rect">
                                <a:avLst/>
                              </a:prstGeom>
                              <a:ln/>
                            </pic:spPr>
                          </pic:pic>
                        </a:graphicData>
                      </a:graphic>
                    </wp:inline>
                  </w:drawing>
                </w:r>
              </w:p>
            </w:tc>
          </w:tr>
          <w:tr w:rsidR="009C64D3" w14:paraId="639C0626"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CC" w14:textId="77777777" w:rsidR="009C64D3" w:rsidRDefault="00000000">
                <w:pPr>
                  <w:spacing w:line="240" w:lineRule="auto"/>
                  <w:jc w:val="both"/>
                  <w:rPr>
                    <w:b/>
                    <w:bCs/>
                    <w:sz w:val="20"/>
                    <w:szCs w:val="20"/>
                  </w:rPr>
                </w:pPr>
                <w:r>
                  <w:rPr>
                    <w:b/>
                    <w:bCs/>
                    <w:i/>
                    <w:iCs/>
                    <w:sz w:val="20"/>
                    <w:szCs w:val="20"/>
                  </w:rPr>
                  <w:t>Orfeo ToolBox</w:t>
                </w:r>
                <w:r>
                  <w:rPr>
                    <w:b/>
                    <w:bCs/>
                    <w:sz w:val="20"/>
                    <w:szCs w:val="20"/>
                  </w:rPr>
                  <w:t xml:space="preserve"> (OTB)</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CD" w14:textId="77777777" w:rsidR="009C64D3" w:rsidRDefault="00000000">
                <w:pPr>
                  <w:spacing w:line="240" w:lineRule="auto"/>
                  <w:jc w:val="both"/>
                  <w:rPr>
                    <w:sz w:val="20"/>
                    <w:szCs w:val="20"/>
                  </w:rPr>
                </w:pPr>
                <w:r>
                  <w:rPr>
                    <w:sz w:val="20"/>
                    <w:szCs w:val="20"/>
                  </w:rPr>
                  <w:t xml:space="preserve">Orfeo ToolBox (OTB), mediante su integración con QGIS, permite realizar cálculos de índices espectrales a través del algoritmo </w:t>
                </w:r>
                <w:r>
                  <w:rPr>
                    <w:b/>
                    <w:bCs/>
                    <w:sz w:val="20"/>
                    <w:szCs w:val="20"/>
                  </w:rPr>
                  <w:t>Radiometric Indices</w:t>
                </w:r>
                <w:r>
                  <w:rPr>
                    <w:sz w:val="20"/>
                    <w:szCs w:val="20"/>
                  </w:rPr>
                  <w:t>, como parte del procesamiento de imágenes de teledetección (Alonso, 2020).</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CE" w14:textId="77777777" w:rsidR="009C64D3" w:rsidRDefault="00000000">
                <w:pPr>
                  <w:jc w:val="both"/>
                  <w:rPr>
                    <w:color w:val="333333"/>
                    <w:sz w:val="20"/>
                    <w:szCs w:val="20"/>
                  </w:rPr>
                </w:pPr>
                <w:sdt>
                  <w:sdtPr>
                    <w:tag w:val="goog_rdk_23"/>
                    <w:id w:val="-706718026"/>
                  </w:sdtPr>
                  <w:sdtContent>
                    <w:commentRangeStart w:id="23"/>
                  </w:sdtContent>
                </w:sdt>
                <w:r>
                  <w:rPr>
                    <w:b/>
                    <w:bCs/>
                    <w:color w:val="333333"/>
                    <w:sz w:val="20"/>
                    <w:szCs w:val="20"/>
                    <w:u w:val="single"/>
                  </w:rPr>
                  <w:t>Figura 1.</w:t>
                </w:r>
                <w:commentRangeEnd w:id="23"/>
                <w:r>
                  <w:rPr>
                    <w:rStyle w:val="Refdecomentario"/>
                    <w:b/>
                    <w:bCs/>
                    <w:color w:val="333333"/>
                    <w:sz w:val="20"/>
                    <w:szCs w:val="20"/>
                  </w:rPr>
                  <w:commentReference w:id="23"/>
                </w:r>
                <w:r>
                  <w:rPr>
                    <w:b/>
                    <w:bCs/>
                    <w:color w:val="333333"/>
                    <w:sz w:val="20"/>
                    <w:szCs w:val="20"/>
                  </w:rPr>
                  <w:t xml:space="preserve"> </w:t>
                </w:r>
                <w:r>
                  <w:rPr>
                    <w:color w:val="333333"/>
                    <w:sz w:val="20"/>
                    <w:szCs w:val="20"/>
                  </w:rPr>
                  <w:t xml:space="preserve">Algoritmo RadiometricIndices de Orfeo ToolBox integrado en QGIS </w:t>
                </w:r>
              </w:p>
              <w:p w14:paraId="000001CF" w14:textId="77777777" w:rsidR="009C64D3" w:rsidRDefault="009C64D3">
                <w:pPr>
                  <w:jc w:val="both"/>
                  <w:rPr>
                    <w:color w:val="333333"/>
                    <w:sz w:val="20"/>
                    <w:szCs w:val="20"/>
                  </w:rPr>
                </w:pPr>
              </w:p>
              <w:p w14:paraId="000001D0" w14:textId="77777777" w:rsidR="009C64D3" w:rsidRDefault="00000000">
                <w:pPr>
                  <w:jc w:val="both"/>
                  <w:rPr>
                    <w:color w:val="333333"/>
                    <w:sz w:val="20"/>
                    <w:szCs w:val="20"/>
                  </w:rPr>
                </w:pPr>
                <w:r>
                  <w:rPr>
                    <w:noProof/>
                    <w:color w:val="333333"/>
                    <w:sz w:val="20"/>
                    <w:szCs w:val="20"/>
                  </w:rPr>
                  <w:drawing>
                    <wp:inline distT="0" distB="0" distL="0" distR="0" wp14:anchorId="6792BA65" wp14:editId="03059E58">
                      <wp:extent cx="1704975" cy="2095500"/>
                      <wp:effectExtent l="0" t="0" r="0" b="0"/>
                      <wp:docPr id="1388758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2"/>
                              <a:srcRect/>
                              <a:stretch>
                                <a:fillRect/>
                              </a:stretch>
                            </pic:blipFill>
                            <pic:spPr>
                              <a:xfrm>
                                <a:off x="0" y="0"/>
                                <a:ext cx="1704975" cy="2095500"/>
                              </a:xfrm>
                              <a:prstGeom prst="rect">
                                <a:avLst/>
                              </a:prstGeom>
                              <a:ln/>
                            </pic:spPr>
                          </pic:pic>
                        </a:graphicData>
                      </a:graphic>
                    </wp:inline>
                  </w:drawing>
                </w:r>
              </w:p>
            </w:tc>
          </w:tr>
          <w:tr w:rsidR="009C64D3" w14:paraId="125016A9" w14:textId="77777777">
            <w:trPr>
              <w:trHeight w:val="285"/>
            </w:trPr>
            <w:tc>
              <w:tcPr>
                <w:tcW w:w="1785" w:type="dxa"/>
                <w:tcBorders>
                  <w:top w:val="single" w:sz="6" w:space="0" w:color="000000"/>
                  <w:left w:val="single" w:sz="6" w:space="0" w:color="000000"/>
                  <w:bottom w:val="single" w:sz="6" w:space="0" w:color="000000"/>
                  <w:right w:val="single" w:sz="6" w:space="0" w:color="000000"/>
                </w:tcBorders>
                <w:shd w:val="clear" w:color="auto" w:fill="FFFFFF"/>
              </w:tcPr>
              <w:p w14:paraId="000001D1" w14:textId="77777777" w:rsidR="009C64D3" w:rsidRDefault="00000000">
                <w:pPr>
                  <w:spacing w:line="240" w:lineRule="auto"/>
                  <w:jc w:val="both"/>
                  <w:rPr>
                    <w:b/>
                    <w:bCs/>
                    <w:sz w:val="20"/>
                    <w:szCs w:val="20"/>
                  </w:rPr>
                </w:pPr>
                <w:r>
                  <w:rPr>
                    <w:b/>
                    <w:bCs/>
                    <w:sz w:val="20"/>
                    <w:szCs w:val="20"/>
                  </w:rPr>
                  <w:lastRenderedPageBreak/>
                  <w:t>QGIS</w:t>
                </w:r>
              </w:p>
            </w:tc>
            <w:tc>
              <w:tcPr>
                <w:tcW w:w="5400" w:type="dxa"/>
                <w:tcBorders>
                  <w:top w:val="single" w:sz="6" w:space="0" w:color="000000"/>
                  <w:left w:val="single" w:sz="6" w:space="0" w:color="000000"/>
                  <w:bottom w:val="single" w:sz="6" w:space="0" w:color="000000"/>
                  <w:right w:val="single" w:sz="6" w:space="0" w:color="000000"/>
                </w:tcBorders>
                <w:shd w:val="clear" w:color="auto" w:fill="FFFFFF"/>
              </w:tcPr>
              <w:p w14:paraId="000001D2" w14:textId="77777777" w:rsidR="009C64D3" w:rsidRDefault="00000000">
                <w:pPr>
                  <w:spacing w:line="240" w:lineRule="auto"/>
                  <w:jc w:val="both"/>
                  <w:rPr>
                    <w:sz w:val="20"/>
                    <w:szCs w:val="20"/>
                  </w:rPr>
                </w:pPr>
                <w:r>
                  <w:rPr>
                    <w:sz w:val="20"/>
                    <w:szCs w:val="20"/>
                  </w:rPr>
                  <w:t xml:space="preserve">QGIS permite calcular índices de vegetación mediante la </w:t>
                </w:r>
                <w:r>
                  <w:rPr>
                    <w:b/>
                    <w:bCs/>
                    <w:sz w:val="20"/>
                    <w:szCs w:val="20"/>
                  </w:rPr>
                  <w:t>Calculadora ráster</w:t>
                </w:r>
                <w:r>
                  <w:rPr>
                    <w:sz w:val="20"/>
                    <w:szCs w:val="20"/>
                  </w:rPr>
                  <w:t>, en la que pueden introducirse manualmente las fórmulas correspondientes a las bandas espectrales.</w:t>
                </w:r>
              </w:p>
              <w:p w14:paraId="000001D3" w14:textId="77777777" w:rsidR="009C64D3" w:rsidRDefault="009C64D3">
                <w:pPr>
                  <w:spacing w:line="240" w:lineRule="auto"/>
                  <w:jc w:val="both"/>
                  <w:rPr>
                    <w:sz w:val="20"/>
                    <w:szCs w:val="20"/>
                  </w:rPr>
                </w:pPr>
              </w:p>
              <w:p w14:paraId="000001D4" w14:textId="77777777" w:rsidR="009C64D3" w:rsidRDefault="00000000">
                <w:pPr>
                  <w:spacing w:line="240" w:lineRule="auto"/>
                  <w:jc w:val="both"/>
                  <w:rPr>
                    <w:sz w:val="20"/>
                    <w:szCs w:val="20"/>
                  </w:rPr>
                </w:pPr>
                <w:r>
                  <w:rPr>
                    <w:sz w:val="20"/>
                    <w:szCs w:val="20"/>
                  </w:rPr>
                  <w:t xml:space="preserve">También puede utilizarse el complemento </w:t>
                </w:r>
                <w:r>
                  <w:rPr>
                    <w:b/>
                    <w:bCs/>
                    <w:sz w:val="20"/>
                    <w:szCs w:val="20"/>
                  </w:rPr>
                  <w:t>Semi-Automatic Classification Plugin (SCP)</w:t>
                </w:r>
                <w:r>
                  <w:rPr>
                    <w:sz w:val="20"/>
                    <w:szCs w:val="20"/>
                  </w:rPr>
                  <w:t>, cuya calculadora de bandas permite obtener índices como NDVI, EVI y NBR (Alonso, 2020).</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Pr>
              <w:p w14:paraId="000001D5" w14:textId="77777777" w:rsidR="009C64D3" w:rsidRDefault="00000000">
                <w:pPr>
                  <w:spacing w:line="240" w:lineRule="auto"/>
                  <w:jc w:val="both"/>
                  <w:rPr>
                    <w:sz w:val="20"/>
                    <w:szCs w:val="20"/>
                  </w:rPr>
                </w:pPr>
                <w:sdt>
                  <w:sdtPr>
                    <w:tag w:val="goog_rdk_24"/>
                    <w:id w:val="789629764"/>
                  </w:sdtPr>
                  <w:sdtContent>
                    <w:commentRangeStart w:id="24"/>
                  </w:sdtContent>
                </w:sdt>
                <w:r>
                  <w:rPr>
                    <w:b/>
                    <w:bCs/>
                    <w:sz w:val="20"/>
                    <w:szCs w:val="20"/>
                  </w:rPr>
                  <w:t>Figura 2</w:t>
                </w:r>
                <w:commentRangeEnd w:id="24"/>
                <w:r>
                  <w:rPr>
                    <w:rStyle w:val="Refdecomentario"/>
                    <w:b/>
                    <w:bCs/>
                    <w:sz w:val="20"/>
                    <w:szCs w:val="20"/>
                  </w:rPr>
                  <w:commentReference w:id="24"/>
                </w:r>
                <w:r>
                  <w:rPr>
                    <w:b/>
                    <w:bCs/>
                    <w:sz w:val="20"/>
                    <w:szCs w:val="20"/>
                  </w:rPr>
                  <w:t>.</w:t>
                </w:r>
                <w:r>
                  <w:rPr>
                    <w:sz w:val="20"/>
                    <w:szCs w:val="20"/>
                  </w:rPr>
                  <w:t xml:space="preserve"> Calculadora de Bandas del Semi-Automatic Classification Plugin en QGIS</w:t>
                </w:r>
              </w:p>
              <w:p w14:paraId="000001D6" w14:textId="77777777" w:rsidR="009C64D3" w:rsidRDefault="009C64D3">
                <w:pPr>
                  <w:spacing w:line="240" w:lineRule="auto"/>
                  <w:jc w:val="both"/>
                  <w:rPr>
                    <w:sz w:val="20"/>
                    <w:szCs w:val="20"/>
                  </w:rPr>
                </w:pPr>
              </w:p>
              <w:p w14:paraId="000001D7" w14:textId="77777777" w:rsidR="009C64D3" w:rsidRDefault="00000000">
                <w:pPr>
                  <w:jc w:val="both"/>
                  <w:rPr>
                    <w:sz w:val="20"/>
                    <w:szCs w:val="20"/>
                  </w:rPr>
                </w:pPr>
                <w:r>
                  <w:rPr>
                    <w:noProof/>
                    <w:color w:val="333333"/>
                    <w:sz w:val="20"/>
                    <w:szCs w:val="20"/>
                  </w:rPr>
                  <w:drawing>
                    <wp:inline distT="0" distB="0" distL="0" distR="0" wp14:anchorId="09984DCB" wp14:editId="32ED2497">
                      <wp:extent cx="1704975" cy="1092200"/>
                      <wp:effectExtent l="0" t="0" r="0" b="0"/>
                      <wp:docPr id="1388758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3"/>
                              <a:srcRect/>
                              <a:stretch>
                                <a:fillRect/>
                              </a:stretch>
                            </pic:blipFill>
                            <pic:spPr>
                              <a:xfrm>
                                <a:off x="0" y="0"/>
                                <a:ext cx="1704975" cy="1092200"/>
                              </a:xfrm>
                              <a:prstGeom prst="rect">
                                <a:avLst/>
                              </a:prstGeom>
                              <a:ln/>
                            </pic:spPr>
                          </pic:pic>
                        </a:graphicData>
                      </a:graphic>
                    </wp:inline>
                  </w:drawing>
                </w:r>
              </w:p>
            </w:tc>
          </w:tr>
        </w:tbl>
      </w:sdtContent>
    </w:sdt>
    <w:p w14:paraId="000001D8" w14:textId="77777777" w:rsidR="009C64D3" w:rsidRDefault="009C64D3">
      <w:pPr>
        <w:spacing w:line="240" w:lineRule="auto"/>
        <w:jc w:val="both"/>
        <w:rPr>
          <w:sz w:val="20"/>
          <w:szCs w:val="20"/>
        </w:rPr>
      </w:pPr>
    </w:p>
    <w:p w14:paraId="000001D9" w14:textId="77777777" w:rsidR="009C64D3" w:rsidRDefault="00000000">
      <w:pPr>
        <w:spacing w:after="160"/>
        <w:jc w:val="both"/>
        <w:rPr>
          <w:sz w:val="20"/>
          <w:szCs w:val="20"/>
        </w:rPr>
      </w:pPr>
      <w:r>
        <w:rPr>
          <w:sz w:val="20"/>
          <w:szCs w:val="20"/>
        </w:rPr>
        <w:t>La selección de la herramienta depende del tipo de información disponible, el índice que se requiere calcular y las características del procesamiento geoespacial que se vaya a desarrollar.</w:t>
      </w:r>
    </w:p>
    <w:p w14:paraId="000001DA" w14:textId="77777777" w:rsidR="009C64D3" w:rsidRDefault="009C64D3">
      <w:pPr>
        <w:spacing w:after="160"/>
        <w:jc w:val="both"/>
        <w:rPr>
          <w:sz w:val="20"/>
          <w:szCs w:val="20"/>
        </w:rPr>
      </w:pPr>
    </w:p>
    <w:p w14:paraId="000001DB" w14:textId="77777777" w:rsidR="009C64D3" w:rsidRDefault="00000000">
      <w:pPr>
        <w:spacing w:after="160"/>
        <w:jc w:val="both"/>
        <w:rPr>
          <w:sz w:val="20"/>
          <w:szCs w:val="20"/>
        </w:rPr>
      </w:pPr>
      <w:r>
        <w:rPr>
          <w:sz w:val="20"/>
          <w:szCs w:val="20"/>
        </w:rPr>
        <w:t>Se invita a reproducir el siguiente video para profundizar en el cálculo de índices de vegetación mediante herramientas geoespaciales y reconocer la relación entre las bandas espectrales, el procesamiento y la generación de información sobre la cobertura vegetal:</w:t>
      </w:r>
    </w:p>
    <w:p w14:paraId="000001DC" w14:textId="77777777" w:rsidR="009C64D3" w:rsidRDefault="009C64D3">
      <w:pPr>
        <w:spacing w:line="240" w:lineRule="auto"/>
        <w:jc w:val="both"/>
        <w:rPr>
          <w:sz w:val="20"/>
          <w:szCs w:val="20"/>
        </w:rPr>
      </w:pPr>
    </w:p>
    <w:p w14:paraId="000001DD" w14:textId="77777777" w:rsidR="009C64D3" w:rsidRDefault="00000000">
      <w:pPr>
        <w:pBdr>
          <w:top w:val="single" w:sz="4" w:space="1" w:color="000000"/>
          <w:left w:val="single" w:sz="4" w:space="2" w:color="000000"/>
          <w:bottom w:val="single" w:sz="4" w:space="1" w:color="000000"/>
          <w:right w:val="single" w:sz="4" w:space="4" w:color="000000"/>
        </w:pBdr>
        <w:shd w:val="clear" w:color="auto" w:fill="92CDDC"/>
        <w:spacing w:line="240" w:lineRule="auto"/>
        <w:jc w:val="center"/>
        <w:rPr>
          <w:b/>
          <w:bCs/>
          <w:sz w:val="20"/>
          <w:szCs w:val="20"/>
        </w:rPr>
      </w:pPr>
      <w:r>
        <w:rPr>
          <w:b/>
          <w:bCs/>
          <w:sz w:val="20"/>
          <w:szCs w:val="20"/>
        </w:rPr>
        <w:t>Video: “Del dato satelital al índice de vegetación: herramientas para su cálculo”</w:t>
      </w:r>
    </w:p>
    <w:p w14:paraId="000001DE" w14:textId="77777777" w:rsidR="009C64D3" w:rsidRDefault="009C64D3">
      <w:pPr>
        <w:spacing w:after="160"/>
        <w:jc w:val="both"/>
        <w:rPr>
          <w:sz w:val="20"/>
          <w:szCs w:val="20"/>
        </w:rPr>
      </w:pPr>
    </w:p>
    <w:p w14:paraId="000001DF" w14:textId="77777777" w:rsidR="009C64D3" w:rsidRDefault="009C64D3">
      <w:pPr>
        <w:ind w:left="720"/>
        <w:jc w:val="both"/>
        <w:rPr>
          <w:sz w:val="20"/>
          <w:szCs w:val="20"/>
        </w:rPr>
      </w:pPr>
    </w:p>
    <w:p w14:paraId="000001E0" w14:textId="77777777" w:rsidR="009C64D3" w:rsidRDefault="00000000">
      <w:pPr>
        <w:numPr>
          <w:ilvl w:val="0"/>
          <w:numId w:val="2"/>
        </w:numPr>
        <w:ind w:left="284"/>
        <w:jc w:val="both"/>
        <w:rPr>
          <w:b/>
          <w:bCs/>
          <w:sz w:val="20"/>
          <w:szCs w:val="20"/>
        </w:rPr>
      </w:pPr>
      <w:r>
        <w:rPr>
          <w:b/>
          <w:bCs/>
          <w:sz w:val="20"/>
          <w:szCs w:val="20"/>
        </w:rPr>
        <w:t xml:space="preserve">SÍNTESIS </w:t>
      </w:r>
    </w:p>
    <w:p w14:paraId="000001E1" w14:textId="77777777" w:rsidR="009C64D3" w:rsidRDefault="009C64D3">
      <w:pPr>
        <w:rPr>
          <w:sz w:val="20"/>
          <w:szCs w:val="20"/>
        </w:rPr>
      </w:pPr>
    </w:p>
    <w:p w14:paraId="000001E2" w14:textId="77777777" w:rsidR="009C64D3" w:rsidRDefault="00000000">
      <w:pPr>
        <w:spacing w:line="240" w:lineRule="auto"/>
        <w:jc w:val="both"/>
        <w:rPr>
          <w:sz w:val="20"/>
          <w:szCs w:val="20"/>
        </w:rPr>
      </w:pPr>
      <w:sdt>
        <w:sdtPr>
          <w:tag w:val="goog_rdk_26"/>
          <w:id w:val="1476282061"/>
        </w:sdtPr>
        <w:sdtContent>
          <w:commentRangeStart w:id="25"/>
        </w:sdtContent>
      </w:sdt>
      <w:r>
        <w:rPr>
          <w:sz w:val="20"/>
          <w:szCs w:val="20"/>
        </w:rPr>
        <w:t>A continuación, se presenta la síntesis:</w:t>
      </w:r>
      <w:commentRangeEnd w:id="25"/>
      <w:r>
        <w:rPr>
          <w:rStyle w:val="Refdecomentario"/>
          <w:sz w:val="20"/>
          <w:szCs w:val="20"/>
        </w:rPr>
        <w:commentReference w:id="25"/>
      </w:r>
    </w:p>
    <w:p w14:paraId="000001E3" w14:textId="77777777" w:rsidR="009C64D3" w:rsidRDefault="009C64D3">
      <w:pPr>
        <w:spacing w:line="240" w:lineRule="auto"/>
        <w:jc w:val="both"/>
        <w:rPr>
          <w:sz w:val="20"/>
          <w:szCs w:val="20"/>
        </w:rPr>
      </w:pPr>
    </w:p>
    <w:p w14:paraId="000001E4" w14:textId="77777777" w:rsidR="009C64D3" w:rsidRDefault="00000000">
      <w:pPr>
        <w:spacing w:line="240" w:lineRule="auto"/>
        <w:jc w:val="both"/>
        <w:rPr>
          <w:sz w:val="20"/>
          <w:szCs w:val="20"/>
        </w:rPr>
      </w:pPr>
      <w:r>
        <w:rPr>
          <w:noProof/>
          <w:sz w:val="20"/>
          <w:szCs w:val="20"/>
        </w:rPr>
        <w:lastRenderedPageBreak/>
        <w:drawing>
          <wp:inline distT="114300" distB="114300" distL="114300" distR="114300" wp14:anchorId="4EA17608" wp14:editId="233A02E9">
            <wp:extent cx="4197985" cy="4029075"/>
            <wp:effectExtent l="0" t="0" r="0" b="0"/>
            <wp:docPr id="13887584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4"/>
                    <a:srcRect r="33724"/>
                    <a:stretch>
                      <a:fillRect/>
                    </a:stretch>
                  </pic:blipFill>
                  <pic:spPr>
                    <a:xfrm>
                      <a:off x="0" y="0"/>
                      <a:ext cx="4197985" cy="4029075"/>
                    </a:xfrm>
                    <a:prstGeom prst="rect">
                      <a:avLst/>
                    </a:prstGeom>
                    <a:ln/>
                  </pic:spPr>
                </pic:pic>
              </a:graphicData>
            </a:graphic>
          </wp:inline>
        </w:drawing>
      </w:r>
    </w:p>
    <w:p w14:paraId="000001E5" w14:textId="77777777" w:rsidR="009C64D3" w:rsidRDefault="009C64D3">
      <w:pPr>
        <w:rPr>
          <w:sz w:val="20"/>
          <w:szCs w:val="20"/>
        </w:rPr>
      </w:pPr>
    </w:p>
    <w:p w14:paraId="000001E6" w14:textId="77777777" w:rsidR="009C64D3" w:rsidRDefault="009C64D3">
      <w:pPr>
        <w:rPr>
          <w:sz w:val="20"/>
          <w:szCs w:val="20"/>
        </w:rPr>
      </w:pPr>
    </w:p>
    <w:p w14:paraId="000001E7" w14:textId="77777777" w:rsidR="009C64D3" w:rsidRDefault="00000000">
      <w:pPr>
        <w:numPr>
          <w:ilvl w:val="0"/>
          <w:numId w:val="2"/>
        </w:numPr>
        <w:pBdr>
          <w:top w:val="nil"/>
          <w:left w:val="nil"/>
          <w:bottom w:val="nil"/>
          <w:right w:val="nil"/>
          <w:between w:val="nil"/>
        </w:pBdr>
        <w:ind w:left="284" w:hanging="284"/>
        <w:jc w:val="both"/>
        <w:rPr>
          <w:b/>
          <w:bCs/>
          <w:sz w:val="20"/>
          <w:szCs w:val="20"/>
        </w:rPr>
      </w:pPr>
      <w:r>
        <w:rPr>
          <w:b/>
          <w:bCs/>
          <w:sz w:val="20"/>
          <w:szCs w:val="20"/>
        </w:rPr>
        <w:t xml:space="preserve">ACTIVIDADES DIDÁCTICAS </w:t>
      </w:r>
      <w:r>
        <w:rPr>
          <w:b/>
          <w:bCs/>
          <w:i/>
          <w:iCs/>
          <w:sz w:val="20"/>
          <w:szCs w:val="20"/>
        </w:rPr>
        <w:t>(Se debe incorporar mínimo 1, máximo 2)</w:t>
      </w:r>
    </w:p>
    <w:p w14:paraId="000001E8" w14:textId="77777777" w:rsidR="009C64D3" w:rsidRDefault="009C64D3">
      <w:pPr>
        <w:ind w:left="720"/>
        <w:jc w:val="both"/>
        <w:rPr>
          <w:sz w:val="20"/>
          <w:szCs w:val="20"/>
        </w:rPr>
      </w:pPr>
    </w:p>
    <w:p w14:paraId="000001E9" w14:textId="77777777" w:rsidR="009C64D3" w:rsidRDefault="009C64D3">
      <w:pPr>
        <w:ind w:left="426"/>
        <w:jc w:val="both"/>
        <w:rPr>
          <w:sz w:val="20"/>
          <w:szCs w:val="20"/>
        </w:rPr>
      </w:pPr>
    </w:p>
    <w:tbl>
      <w:tblPr>
        <w:tblStyle w:val="afffffffa"/>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6848"/>
      </w:tblGrid>
      <w:tr w:rsidR="009C64D3" w14:paraId="0663C34F" w14:textId="77777777">
        <w:trPr>
          <w:trHeight w:val="491"/>
        </w:trPr>
        <w:tc>
          <w:tcPr>
            <w:tcW w:w="9541" w:type="dxa"/>
            <w:gridSpan w:val="2"/>
            <w:shd w:val="clear" w:color="auto" w:fill="000000"/>
            <w:vAlign w:val="center"/>
          </w:tcPr>
          <w:p w14:paraId="000001EA" w14:textId="77777777" w:rsidR="009C64D3" w:rsidRDefault="00000000">
            <w:pPr>
              <w:jc w:val="center"/>
              <w:rPr>
                <w:b/>
                <w:bCs/>
                <w:sz w:val="20"/>
                <w:szCs w:val="20"/>
              </w:rPr>
            </w:pPr>
            <w:r>
              <w:rPr>
                <w:rFonts w:ascii="Calibri" w:eastAsia="Calibri" w:hAnsi="Calibri" w:cs="Calibri"/>
                <w:b/>
                <w:bCs/>
                <w:sz w:val="24"/>
                <w:szCs w:val="24"/>
              </w:rPr>
              <w:t>DESCRIPCIÓN DE ACTIVIDAD DIDÁCTICA</w:t>
            </w:r>
          </w:p>
        </w:tc>
      </w:tr>
      <w:tr w:rsidR="009C64D3" w14:paraId="3C4872B5" w14:textId="77777777">
        <w:trPr>
          <w:trHeight w:val="806"/>
        </w:trPr>
        <w:tc>
          <w:tcPr>
            <w:tcW w:w="2693" w:type="dxa"/>
            <w:vAlign w:val="center"/>
          </w:tcPr>
          <w:p w14:paraId="000001EC" w14:textId="77777777" w:rsidR="009C64D3" w:rsidRDefault="00000000">
            <w:pPr>
              <w:rPr>
                <w:rFonts w:ascii="Calibri" w:eastAsia="Calibri" w:hAnsi="Calibri" w:cs="Calibri"/>
                <w:b/>
                <w:bCs/>
                <w:sz w:val="24"/>
                <w:szCs w:val="24"/>
              </w:rPr>
            </w:pPr>
            <w:r>
              <w:rPr>
                <w:rFonts w:ascii="Calibri" w:eastAsia="Calibri" w:hAnsi="Calibri" w:cs="Calibri"/>
                <w:b/>
                <w:bCs/>
                <w:sz w:val="24"/>
                <w:szCs w:val="24"/>
              </w:rPr>
              <w:t>Nombre de la Actividad</w:t>
            </w:r>
          </w:p>
        </w:tc>
        <w:tc>
          <w:tcPr>
            <w:tcW w:w="6848" w:type="dxa"/>
            <w:vAlign w:val="center"/>
          </w:tcPr>
          <w:p w14:paraId="000001ED" w14:textId="77777777" w:rsidR="009C64D3" w:rsidRDefault="00000000">
            <w:pPr>
              <w:rPr>
                <w:sz w:val="20"/>
                <w:szCs w:val="20"/>
              </w:rPr>
            </w:pPr>
            <w:r>
              <w:rPr>
                <w:sz w:val="19"/>
                <w:szCs w:val="19"/>
              </w:rPr>
              <w:t>Cuestionario: técnicas geoespaciales en la agroforestería</w:t>
            </w:r>
          </w:p>
        </w:tc>
      </w:tr>
      <w:tr w:rsidR="009C64D3" w14:paraId="42656EC2" w14:textId="77777777">
        <w:trPr>
          <w:trHeight w:val="806"/>
        </w:trPr>
        <w:tc>
          <w:tcPr>
            <w:tcW w:w="2693" w:type="dxa"/>
            <w:vAlign w:val="center"/>
          </w:tcPr>
          <w:p w14:paraId="000001EE" w14:textId="77777777" w:rsidR="009C64D3" w:rsidRDefault="00000000">
            <w:pPr>
              <w:rPr>
                <w:rFonts w:ascii="Calibri" w:eastAsia="Calibri" w:hAnsi="Calibri" w:cs="Calibri"/>
                <w:b/>
                <w:bCs/>
                <w:sz w:val="24"/>
                <w:szCs w:val="24"/>
              </w:rPr>
            </w:pPr>
            <w:r>
              <w:rPr>
                <w:rFonts w:ascii="Calibri" w:eastAsia="Calibri" w:hAnsi="Calibri" w:cs="Calibri"/>
                <w:b/>
                <w:bCs/>
                <w:sz w:val="24"/>
                <w:szCs w:val="24"/>
              </w:rPr>
              <w:t>Objetivo de la actividad</w:t>
            </w:r>
          </w:p>
        </w:tc>
        <w:tc>
          <w:tcPr>
            <w:tcW w:w="6848" w:type="dxa"/>
            <w:vAlign w:val="center"/>
          </w:tcPr>
          <w:p w14:paraId="000001EF" w14:textId="02367BB2" w:rsidR="009C64D3" w:rsidRDefault="00DC122F">
            <w:pPr>
              <w:rPr>
                <w:sz w:val="20"/>
                <w:szCs w:val="20"/>
              </w:rPr>
            </w:pPr>
            <w:r>
              <w:rPr>
                <w:sz w:val="19"/>
              </w:rPr>
              <w:t>Verificar la apropiación de conceptos, tecnologías, aplicaciones y procesos relacionados con el análisis geoespacial, la captura y procesamiento de información y los índices de vegetación en sistemas agroforestales.</w:t>
            </w:r>
          </w:p>
        </w:tc>
      </w:tr>
      <w:tr w:rsidR="009C64D3" w14:paraId="4856DC9F" w14:textId="77777777">
        <w:trPr>
          <w:trHeight w:val="1258"/>
        </w:trPr>
        <w:tc>
          <w:tcPr>
            <w:tcW w:w="2693" w:type="dxa"/>
            <w:vAlign w:val="center"/>
          </w:tcPr>
          <w:p w14:paraId="000001F0" w14:textId="77777777" w:rsidR="009C64D3" w:rsidRDefault="00000000">
            <w:pPr>
              <w:rPr>
                <w:rFonts w:ascii="Calibri" w:eastAsia="Calibri" w:hAnsi="Calibri" w:cs="Calibri"/>
                <w:b/>
                <w:bCs/>
                <w:sz w:val="24"/>
                <w:szCs w:val="24"/>
              </w:rPr>
            </w:pPr>
            <w:r>
              <w:rPr>
                <w:rFonts w:ascii="Calibri" w:eastAsia="Calibri" w:hAnsi="Calibri" w:cs="Calibri"/>
                <w:b/>
                <w:bCs/>
                <w:sz w:val="24"/>
                <w:szCs w:val="24"/>
              </w:rPr>
              <w:t>Tipo de actividad sugerida</w:t>
            </w:r>
          </w:p>
        </w:tc>
        <w:tc>
          <w:tcPr>
            <w:tcW w:w="6848" w:type="dxa"/>
            <w:vAlign w:val="center"/>
          </w:tcPr>
          <w:p w14:paraId="000001F1" w14:textId="47AF10ED" w:rsidR="009C64D3" w:rsidRPr="00DC122F" w:rsidRDefault="00DC122F">
            <w:pPr>
              <w:rPr>
                <w:sz w:val="20"/>
                <w:szCs w:val="20"/>
              </w:rPr>
            </w:pPr>
            <w:r w:rsidRPr="00DC122F">
              <w:rPr>
                <w:sz w:val="20"/>
                <w:szCs w:val="20"/>
              </w:rPr>
              <w:t>Cuestionario</w:t>
            </w:r>
          </w:p>
        </w:tc>
      </w:tr>
      <w:tr w:rsidR="009C64D3" w14:paraId="475A98ED" w14:textId="77777777">
        <w:trPr>
          <w:trHeight w:val="1849"/>
        </w:trPr>
        <w:tc>
          <w:tcPr>
            <w:tcW w:w="2693" w:type="dxa"/>
            <w:vAlign w:val="center"/>
          </w:tcPr>
          <w:p w14:paraId="000001F2" w14:textId="77777777" w:rsidR="009C64D3" w:rsidRDefault="00000000">
            <w:pPr>
              <w:rPr>
                <w:rFonts w:ascii="Calibri" w:eastAsia="Calibri" w:hAnsi="Calibri" w:cs="Calibri"/>
                <w:b/>
                <w:bCs/>
                <w:sz w:val="24"/>
                <w:szCs w:val="24"/>
              </w:rPr>
            </w:pPr>
            <w:r>
              <w:rPr>
                <w:rFonts w:ascii="Calibri" w:eastAsia="Calibri" w:hAnsi="Calibri" w:cs="Calibri"/>
                <w:b/>
                <w:bCs/>
                <w:sz w:val="24"/>
                <w:szCs w:val="24"/>
              </w:rPr>
              <w:t xml:space="preserve">Archivo de la actividad </w:t>
            </w:r>
          </w:p>
          <w:p w14:paraId="000001F3" w14:textId="77777777" w:rsidR="009C64D3" w:rsidRDefault="00000000">
            <w:pPr>
              <w:rPr>
                <w:rFonts w:ascii="Calibri" w:eastAsia="Calibri" w:hAnsi="Calibri" w:cs="Calibri"/>
                <w:b/>
                <w:bCs/>
                <w:sz w:val="24"/>
                <w:szCs w:val="24"/>
              </w:rPr>
            </w:pPr>
            <w:r>
              <w:rPr>
                <w:rFonts w:ascii="Calibri" w:eastAsia="Calibri" w:hAnsi="Calibri" w:cs="Calibri"/>
                <w:b/>
                <w:bCs/>
                <w:sz w:val="24"/>
                <w:szCs w:val="24"/>
              </w:rPr>
              <w:t>(Anexo donde se describe la actividad propuesta)</w:t>
            </w:r>
          </w:p>
        </w:tc>
        <w:tc>
          <w:tcPr>
            <w:tcW w:w="6848" w:type="dxa"/>
            <w:vAlign w:val="center"/>
          </w:tcPr>
          <w:p w14:paraId="000001F4" w14:textId="7122A6A3" w:rsidR="009C64D3" w:rsidRPr="00DC122F" w:rsidRDefault="00DC122F">
            <w:pPr>
              <w:rPr>
                <w:sz w:val="20"/>
                <w:szCs w:val="20"/>
              </w:rPr>
            </w:pPr>
            <w:r w:rsidRPr="00DC122F">
              <w:rPr>
                <w:sz w:val="20"/>
                <w:szCs w:val="20"/>
              </w:rPr>
              <w:t>Documento anexado</w:t>
            </w:r>
          </w:p>
        </w:tc>
      </w:tr>
    </w:tbl>
    <w:p w14:paraId="000001F5" w14:textId="77777777" w:rsidR="009C64D3" w:rsidRDefault="009C64D3">
      <w:pPr>
        <w:rPr>
          <w:sz w:val="20"/>
          <w:szCs w:val="20"/>
        </w:rPr>
      </w:pPr>
    </w:p>
    <w:p w14:paraId="000001F6" w14:textId="77777777" w:rsidR="009C64D3" w:rsidRDefault="009C64D3">
      <w:pPr>
        <w:rPr>
          <w:sz w:val="20"/>
          <w:szCs w:val="20"/>
        </w:rPr>
      </w:pPr>
    </w:p>
    <w:p w14:paraId="000001F7" w14:textId="77777777" w:rsidR="009C64D3" w:rsidRDefault="00000000">
      <w:pPr>
        <w:numPr>
          <w:ilvl w:val="0"/>
          <w:numId w:val="2"/>
        </w:numPr>
        <w:pBdr>
          <w:top w:val="nil"/>
          <w:left w:val="nil"/>
          <w:bottom w:val="nil"/>
          <w:right w:val="nil"/>
          <w:between w:val="nil"/>
        </w:pBdr>
        <w:ind w:left="284" w:hanging="284"/>
        <w:jc w:val="both"/>
        <w:rPr>
          <w:b/>
          <w:bCs/>
          <w:sz w:val="20"/>
          <w:szCs w:val="20"/>
        </w:rPr>
      </w:pPr>
      <w:r>
        <w:rPr>
          <w:b/>
          <w:bCs/>
          <w:sz w:val="20"/>
          <w:szCs w:val="20"/>
        </w:rPr>
        <w:t xml:space="preserve">GLOSARIO: </w:t>
      </w:r>
    </w:p>
    <w:p w14:paraId="000001F8" w14:textId="77777777" w:rsidR="009C64D3" w:rsidRDefault="009C64D3">
      <w:pPr>
        <w:pBdr>
          <w:top w:val="nil"/>
          <w:left w:val="nil"/>
          <w:bottom w:val="nil"/>
          <w:right w:val="nil"/>
          <w:between w:val="nil"/>
        </w:pBdr>
        <w:ind w:left="284"/>
        <w:jc w:val="both"/>
        <w:rPr>
          <w:b/>
          <w:bCs/>
          <w:sz w:val="20"/>
          <w:szCs w:val="20"/>
        </w:rPr>
      </w:pPr>
    </w:p>
    <w:p w14:paraId="000001F9" w14:textId="77777777" w:rsidR="009C64D3" w:rsidRDefault="009C64D3">
      <w:pPr>
        <w:pBdr>
          <w:top w:val="nil"/>
          <w:left w:val="nil"/>
          <w:bottom w:val="nil"/>
          <w:right w:val="nil"/>
          <w:between w:val="nil"/>
        </w:pBdr>
        <w:ind w:left="426"/>
        <w:jc w:val="both"/>
        <w:rPr>
          <w:sz w:val="20"/>
          <w:szCs w:val="20"/>
        </w:rPr>
      </w:pPr>
    </w:p>
    <w:tbl>
      <w:tblPr>
        <w:tblStyle w:val="afffffff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9C64D3" w14:paraId="79A99BC7" w14:textId="77777777">
        <w:trPr>
          <w:trHeight w:val="214"/>
        </w:trPr>
        <w:tc>
          <w:tcPr>
            <w:tcW w:w="2122" w:type="dxa"/>
            <w:shd w:val="clear" w:color="auto" w:fill="000000"/>
            <w:tcMar>
              <w:top w:w="100" w:type="dxa"/>
              <w:left w:w="100" w:type="dxa"/>
              <w:bottom w:w="100" w:type="dxa"/>
              <w:right w:w="100" w:type="dxa"/>
            </w:tcMar>
          </w:tcPr>
          <w:p w14:paraId="000001FA" w14:textId="77777777" w:rsidR="009C64D3" w:rsidRDefault="00000000">
            <w:pPr>
              <w:spacing w:line="276" w:lineRule="auto"/>
              <w:jc w:val="center"/>
              <w:rPr>
                <w:color w:val="FFFFFF"/>
                <w:sz w:val="20"/>
                <w:szCs w:val="20"/>
              </w:rPr>
            </w:pPr>
            <w:r>
              <w:rPr>
                <w:color w:val="FFFFFF"/>
                <w:sz w:val="20"/>
                <w:szCs w:val="20"/>
              </w:rPr>
              <w:t>TÉRMINO</w:t>
            </w:r>
          </w:p>
        </w:tc>
        <w:tc>
          <w:tcPr>
            <w:tcW w:w="7840" w:type="dxa"/>
            <w:shd w:val="clear" w:color="auto" w:fill="000000"/>
            <w:tcMar>
              <w:top w:w="100" w:type="dxa"/>
              <w:left w:w="100" w:type="dxa"/>
              <w:bottom w:w="100" w:type="dxa"/>
              <w:right w:w="100" w:type="dxa"/>
            </w:tcMar>
          </w:tcPr>
          <w:p w14:paraId="000001FB" w14:textId="77777777" w:rsidR="009C64D3" w:rsidRDefault="00000000">
            <w:pPr>
              <w:spacing w:line="276" w:lineRule="auto"/>
              <w:jc w:val="center"/>
              <w:rPr>
                <w:color w:val="FFFFFF"/>
                <w:sz w:val="20"/>
                <w:szCs w:val="20"/>
              </w:rPr>
            </w:pPr>
            <w:r>
              <w:rPr>
                <w:color w:val="FFFFFF"/>
                <w:sz w:val="20"/>
                <w:szCs w:val="20"/>
              </w:rPr>
              <w:t>SIGNIFICADO</w:t>
            </w:r>
          </w:p>
        </w:tc>
      </w:tr>
      <w:tr w:rsidR="009C64D3" w14:paraId="7ACA1FC5" w14:textId="77777777">
        <w:trPr>
          <w:trHeight w:val="253"/>
        </w:trPr>
        <w:tc>
          <w:tcPr>
            <w:tcW w:w="2122" w:type="dxa"/>
            <w:shd w:val="clear" w:color="auto" w:fill="auto"/>
            <w:tcMar>
              <w:top w:w="100" w:type="dxa"/>
              <w:left w:w="100" w:type="dxa"/>
              <w:bottom w:w="100" w:type="dxa"/>
              <w:right w:w="100" w:type="dxa"/>
            </w:tcMar>
          </w:tcPr>
          <w:p w14:paraId="000001FC" w14:textId="77777777" w:rsidR="009C64D3" w:rsidRDefault="00000000">
            <w:pPr>
              <w:rPr>
                <w:sz w:val="20"/>
                <w:szCs w:val="20"/>
              </w:rPr>
            </w:pPr>
            <w:r>
              <w:rPr>
                <w:sz w:val="20"/>
                <w:szCs w:val="20"/>
              </w:rPr>
              <w:t>Agroforestería:</w:t>
            </w:r>
          </w:p>
        </w:tc>
        <w:tc>
          <w:tcPr>
            <w:tcW w:w="7840" w:type="dxa"/>
            <w:shd w:val="clear" w:color="auto" w:fill="auto"/>
            <w:tcMar>
              <w:top w:w="100" w:type="dxa"/>
              <w:left w:w="100" w:type="dxa"/>
              <w:bottom w:w="100" w:type="dxa"/>
              <w:right w:w="100" w:type="dxa"/>
            </w:tcMar>
          </w:tcPr>
          <w:p w14:paraId="000001FD" w14:textId="77777777" w:rsidR="009C64D3" w:rsidRDefault="00000000">
            <w:pPr>
              <w:jc w:val="both"/>
              <w:rPr>
                <w:b w:val="0"/>
                <w:bCs w:val="0"/>
                <w:sz w:val="20"/>
                <w:szCs w:val="20"/>
              </w:rPr>
            </w:pPr>
            <w:r>
              <w:rPr>
                <w:b w:val="0"/>
                <w:bCs w:val="0"/>
                <w:sz w:val="20"/>
                <w:szCs w:val="20"/>
              </w:rPr>
              <w:t>sistema productivo donde interactúan intencionalmente especies leñosas perennes con cultivos agrícolas y/o ganado en la misma unidad de tierra</w:t>
            </w:r>
          </w:p>
        </w:tc>
      </w:tr>
      <w:tr w:rsidR="009C64D3" w14:paraId="3731B9C9" w14:textId="77777777">
        <w:trPr>
          <w:trHeight w:val="253"/>
        </w:trPr>
        <w:tc>
          <w:tcPr>
            <w:tcW w:w="2122" w:type="dxa"/>
            <w:shd w:val="clear" w:color="auto" w:fill="auto"/>
            <w:tcMar>
              <w:top w:w="100" w:type="dxa"/>
              <w:left w:w="100" w:type="dxa"/>
              <w:bottom w:w="100" w:type="dxa"/>
              <w:right w:w="100" w:type="dxa"/>
            </w:tcMar>
          </w:tcPr>
          <w:p w14:paraId="000001FE" w14:textId="77777777" w:rsidR="009C64D3" w:rsidRDefault="00000000">
            <w:pPr>
              <w:rPr>
                <w:sz w:val="20"/>
                <w:szCs w:val="20"/>
              </w:rPr>
            </w:pPr>
            <w:r>
              <w:rPr>
                <w:sz w:val="20"/>
                <w:szCs w:val="20"/>
              </w:rPr>
              <w:t>ARVI:</w:t>
            </w:r>
          </w:p>
        </w:tc>
        <w:tc>
          <w:tcPr>
            <w:tcW w:w="7840" w:type="dxa"/>
            <w:shd w:val="clear" w:color="auto" w:fill="auto"/>
            <w:tcMar>
              <w:top w:w="100" w:type="dxa"/>
              <w:left w:w="100" w:type="dxa"/>
              <w:bottom w:w="100" w:type="dxa"/>
              <w:right w:w="100" w:type="dxa"/>
            </w:tcMar>
          </w:tcPr>
          <w:p w14:paraId="000001FF" w14:textId="77777777" w:rsidR="009C64D3" w:rsidRDefault="00000000">
            <w:pPr>
              <w:jc w:val="both"/>
              <w:rPr>
                <w:b w:val="0"/>
                <w:bCs w:val="0"/>
                <w:sz w:val="20"/>
                <w:szCs w:val="20"/>
              </w:rPr>
            </w:pPr>
            <w:r>
              <w:rPr>
                <w:b w:val="0"/>
                <w:bCs w:val="0"/>
                <w:sz w:val="20"/>
                <w:szCs w:val="20"/>
              </w:rPr>
              <w:t>índice de vegetación resistente a la atmósfera que corrige los efectos de dispersión generados por aerosoles o contaminación.</w:t>
            </w:r>
          </w:p>
        </w:tc>
      </w:tr>
      <w:tr w:rsidR="009C64D3" w14:paraId="09B1192F" w14:textId="77777777">
        <w:trPr>
          <w:trHeight w:val="253"/>
        </w:trPr>
        <w:tc>
          <w:tcPr>
            <w:tcW w:w="2122" w:type="dxa"/>
            <w:shd w:val="clear" w:color="auto" w:fill="auto"/>
            <w:tcMar>
              <w:top w:w="100" w:type="dxa"/>
              <w:left w:w="100" w:type="dxa"/>
              <w:bottom w:w="100" w:type="dxa"/>
              <w:right w:w="100" w:type="dxa"/>
            </w:tcMar>
          </w:tcPr>
          <w:p w14:paraId="00000200" w14:textId="77777777" w:rsidR="009C64D3" w:rsidRDefault="00000000">
            <w:pPr>
              <w:rPr>
                <w:sz w:val="20"/>
                <w:szCs w:val="20"/>
              </w:rPr>
            </w:pPr>
            <w:r>
              <w:rPr>
                <w:sz w:val="20"/>
                <w:szCs w:val="20"/>
              </w:rPr>
              <w:t>Biomasa:</w:t>
            </w:r>
          </w:p>
        </w:tc>
        <w:tc>
          <w:tcPr>
            <w:tcW w:w="7840" w:type="dxa"/>
            <w:shd w:val="clear" w:color="auto" w:fill="auto"/>
            <w:tcMar>
              <w:top w:w="100" w:type="dxa"/>
              <w:left w:w="100" w:type="dxa"/>
              <w:bottom w:w="100" w:type="dxa"/>
              <w:right w:w="100" w:type="dxa"/>
            </w:tcMar>
          </w:tcPr>
          <w:p w14:paraId="00000201" w14:textId="77777777" w:rsidR="009C64D3" w:rsidRDefault="00000000">
            <w:pPr>
              <w:jc w:val="both"/>
              <w:rPr>
                <w:sz w:val="20"/>
                <w:szCs w:val="20"/>
              </w:rPr>
            </w:pPr>
            <w:r>
              <w:rPr>
                <w:b w:val="0"/>
                <w:bCs w:val="0"/>
                <w:sz w:val="20"/>
                <w:szCs w:val="20"/>
              </w:rPr>
              <w:t>cantidad total de materia viva presente en un área determinada, evaluada en agroforestería para estimar la captura de carbono</w:t>
            </w:r>
          </w:p>
        </w:tc>
      </w:tr>
      <w:tr w:rsidR="009C64D3" w14:paraId="6A1FC649" w14:textId="77777777">
        <w:trPr>
          <w:trHeight w:val="253"/>
        </w:trPr>
        <w:tc>
          <w:tcPr>
            <w:tcW w:w="2122" w:type="dxa"/>
            <w:shd w:val="clear" w:color="auto" w:fill="auto"/>
            <w:tcMar>
              <w:top w:w="100" w:type="dxa"/>
              <w:left w:w="100" w:type="dxa"/>
              <w:bottom w:w="100" w:type="dxa"/>
              <w:right w:w="100" w:type="dxa"/>
            </w:tcMar>
          </w:tcPr>
          <w:p w14:paraId="00000202" w14:textId="77777777" w:rsidR="009C64D3" w:rsidRDefault="00000000">
            <w:pPr>
              <w:rPr>
                <w:sz w:val="20"/>
                <w:szCs w:val="20"/>
              </w:rPr>
            </w:pPr>
            <w:r>
              <w:rPr>
                <w:sz w:val="20"/>
                <w:szCs w:val="20"/>
              </w:rPr>
              <w:t>Dosel:</w:t>
            </w:r>
          </w:p>
        </w:tc>
        <w:tc>
          <w:tcPr>
            <w:tcW w:w="7840" w:type="dxa"/>
            <w:shd w:val="clear" w:color="auto" w:fill="auto"/>
            <w:tcMar>
              <w:top w:w="100" w:type="dxa"/>
              <w:left w:w="100" w:type="dxa"/>
              <w:bottom w:w="100" w:type="dxa"/>
              <w:right w:w="100" w:type="dxa"/>
            </w:tcMar>
          </w:tcPr>
          <w:p w14:paraId="00000203" w14:textId="77777777" w:rsidR="009C64D3" w:rsidRDefault="00000000">
            <w:pPr>
              <w:jc w:val="both"/>
              <w:rPr>
                <w:sz w:val="20"/>
                <w:szCs w:val="20"/>
              </w:rPr>
            </w:pPr>
            <w:r>
              <w:rPr>
                <w:b w:val="0"/>
                <w:bCs w:val="0"/>
                <w:sz w:val="20"/>
                <w:szCs w:val="20"/>
              </w:rPr>
              <w:t>cubierta superior formada por las copas de los árboles en un sistema agroforestal o ecosistema forestal</w:t>
            </w:r>
          </w:p>
        </w:tc>
      </w:tr>
      <w:tr w:rsidR="009C64D3" w14:paraId="6006D0C9" w14:textId="77777777">
        <w:trPr>
          <w:trHeight w:val="253"/>
        </w:trPr>
        <w:tc>
          <w:tcPr>
            <w:tcW w:w="2122" w:type="dxa"/>
            <w:shd w:val="clear" w:color="auto" w:fill="auto"/>
            <w:tcMar>
              <w:top w:w="100" w:type="dxa"/>
              <w:left w:w="100" w:type="dxa"/>
              <w:bottom w:w="100" w:type="dxa"/>
              <w:right w:w="100" w:type="dxa"/>
            </w:tcMar>
          </w:tcPr>
          <w:p w14:paraId="00000204" w14:textId="77777777" w:rsidR="009C64D3" w:rsidRDefault="00000000">
            <w:pPr>
              <w:rPr>
                <w:sz w:val="20"/>
                <w:szCs w:val="20"/>
              </w:rPr>
            </w:pPr>
            <w:r>
              <w:rPr>
                <w:sz w:val="20"/>
                <w:szCs w:val="20"/>
              </w:rPr>
              <w:t>EVI:</w:t>
            </w:r>
          </w:p>
        </w:tc>
        <w:tc>
          <w:tcPr>
            <w:tcW w:w="7840" w:type="dxa"/>
            <w:shd w:val="clear" w:color="auto" w:fill="auto"/>
            <w:tcMar>
              <w:top w:w="100" w:type="dxa"/>
              <w:left w:w="100" w:type="dxa"/>
              <w:bottom w:w="100" w:type="dxa"/>
              <w:right w:w="100" w:type="dxa"/>
            </w:tcMar>
          </w:tcPr>
          <w:p w14:paraId="00000205" w14:textId="77777777" w:rsidR="009C64D3" w:rsidRDefault="00000000">
            <w:pPr>
              <w:jc w:val="both"/>
              <w:rPr>
                <w:sz w:val="20"/>
                <w:szCs w:val="20"/>
              </w:rPr>
            </w:pPr>
            <w:r>
              <w:rPr>
                <w:b w:val="0"/>
                <w:bCs w:val="0"/>
                <w:sz w:val="20"/>
                <w:szCs w:val="20"/>
              </w:rPr>
              <w:t>índice de vegetación mejorado diseñado para optimizar la señal en zonas con alta densidad de biomasa y follaje denso.</w:t>
            </w:r>
          </w:p>
        </w:tc>
      </w:tr>
      <w:tr w:rsidR="009C64D3" w14:paraId="008488F0" w14:textId="77777777">
        <w:trPr>
          <w:trHeight w:val="253"/>
        </w:trPr>
        <w:tc>
          <w:tcPr>
            <w:tcW w:w="2122" w:type="dxa"/>
            <w:shd w:val="clear" w:color="auto" w:fill="auto"/>
            <w:tcMar>
              <w:top w:w="100" w:type="dxa"/>
              <w:left w:w="100" w:type="dxa"/>
              <w:bottom w:w="100" w:type="dxa"/>
              <w:right w:w="100" w:type="dxa"/>
            </w:tcMar>
          </w:tcPr>
          <w:p w14:paraId="00000206" w14:textId="77777777" w:rsidR="009C64D3" w:rsidRDefault="00000000">
            <w:pPr>
              <w:rPr>
                <w:sz w:val="20"/>
                <w:szCs w:val="20"/>
              </w:rPr>
            </w:pPr>
            <w:r>
              <w:rPr>
                <w:sz w:val="20"/>
                <w:szCs w:val="20"/>
              </w:rPr>
              <w:t>GNSS:</w:t>
            </w:r>
          </w:p>
        </w:tc>
        <w:tc>
          <w:tcPr>
            <w:tcW w:w="7840" w:type="dxa"/>
            <w:shd w:val="clear" w:color="auto" w:fill="auto"/>
            <w:tcMar>
              <w:top w:w="100" w:type="dxa"/>
              <w:left w:w="100" w:type="dxa"/>
              <w:bottom w:w="100" w:type="dxa"/>
              <w:right w:w="100" w:type="dxa"/>
            </w:tcMar>
          </w:tcPr>
          <w:p w14:paraId="00000207" w14:textId="77777777" w:rsidR="009C64D3" w:rsidRDefault="00000000">
            <w:pPr>
              <w:jc w:val="both"/>
              <w:rPr>
                <w:sz w:val="20"/>
                <w:szCs w:val="20"/>
              </w:rPr>
            </w:pPr>
            <w:r>
              <w:rPr>
                <w:b w:val="0"/>
                <w:bCs w:val="0"/>
                <w:sz w:val="20"/>
                <w:szCs w:val="20"/>
              </w:rPr>
              <w:t>sistema global de navegación por satélite utilizado para determinar coordenadas geográficas de precisión en campo.</w:t>
            </w:r>
          </w:p>
        </w:tc>
      </w:tr>
      <w:tr w:rsidR="009C64D3" w14:paraId="77861176" w14:textId="77777777">
        <w:trPr>
          <w:trHeight w:val="253"/>
        </w:trPr>
        <w:tc>
          <w:tcPr>
            <w:tcW w:w="2122" w:type="dxa"/>
            <w:shd w:val="clear" w:color="auto" w:fill="auto"/>
            <w:tcMar>
              <w:top w:w="100" w:type="dxa"/>
              <w:left w:w="100" w:type="dxa"/>
              <w:bottom w:w="100" w:type="dxa"/>
              <w:right w:w="100" w:type="dxa"/>
            </w:tcMar>
          </w:tcPr>
          <w:p w14:paraId="00000208" w14:textId="77777777" w:rsidR="009C64D3" w:rsidRDefault="00000000">
            <w:pPr>
              <w:rPr>
                <w:b w:val="0"/>
                <w:bCs w:val="0"/>
                <w:sz w:val="20"/>
                <w:szCs w:val="20"/>
              </w:rPr>
            </w:pPr>
            <w:r>
              <w:rPr>
                <w:sz w:val="20"/>
                <w:szCs w:val="20"/>
              </w:rPr>
              <w:t>GREENWASHING:</w:t>
            </w:r>
          </w:p>
        </w:tc>
        <w:tc>
          <w:tcPr>
            <w:tcW w:w="7840" w:type="dxa"/>
            <w:shd w:val="clear" w:color="auto" w:fill="auto"/>
            <w:tcMar>
              <w:top w:w="100" w:type="dxa"/>
              <w:left w:w="100" w:type="dxa"/>
              <w:bottom w:w="100" w:type="dxa"/>
              <w:right w:w="100" w:type="dxa"/>
            </w:tcMar>
          </w:tcPr>
          <w:p w14:paraId="00000209" w14:textId="77777777" w:rsidR="009C64D3" w:rsidRDefault="00000000">
            <w:pPr>
              <w:jc w:val="both"/>
              <w:rPr>
                <w:b w:val="0"/>
                <w:bCs w:val="0"/>
                <w:sz w:val="20"/>
                <w:szCs w:val="20"/>
              </w:rPr>
            </w:pPr>
            <w:r>
              <w:rPr>
                <w:b w:val="0"/>
                <w:bCs w:val="0"/>
                <w:sz w:val="20"/>
                <w:szCs w:val="20"/>
              </w:rPr>
              <w:t>también conocido como lavado verde, ecoblanqueo o ecopostureo es una práctica de marketing engañosa en la que una empresa utiliza la publicidad y la imagen corporativa para aparentar un compromiso con la sostenibilidad y el medio ambiente que sus acciones reales no respaldan.</w:t>
            </w:r>
          </w:p>
        </w:tc>
      </w:tr>
      <w:tr w:rsidR="009C64D3" w14:paraId="6D58D77F" w14:textId="77777777">
        <w:trPr>
          <w:trHeight w:val="253"/>
        </w:trPr>
        <w:tc>
          <w:tcPr>
            <w:tcW w:w="2122" w:type="dxa"/>
            <w:shd w:val="clear" w:color="auto" w:fill="auto"/>
            <w:tcMar>
              <w:top w:w="100" w:type="dxa"/>
              <w:left w:w="100" w:type="dxa"/>
              <w:bottom w:w="100" w:type="dxa"/>
              <w:right w:w="100" w:type="dxa"/>
            </w:tcMar>
          </w:tcPr>
          <w:p w14:paraId="0000020A" w14:textId="77777777" w:rsidR="009C64D3" w:rsidRDefault="00000000">
            <w:pPr>
              <w:rPr>
                <w:sz w:val="20"/>
                <w:szCs w:val="20"/>
              </w:rPr>
            </w:pPr>
            <w:r>
              <w:rPr>
                <w:sz w:val="20"/>
                <w:szCs w:val="20"/>
              </w:rPr>
              <w:t>LiDAR:</w:t>
            </w:r>
          </w:p>
        </w:tc>
        <w:tc>
          <w:tcPr>
            <w:tcW w:w="7840" w:type="dxa"/>
            <w:shd w:val="clear" w:color="auto" w:fill="auto"/>
            <w:tcMar>
              <w:top w:w="100" w:type="dxa"/>
              <w:left w:w="100" w:type="dxa"/>
              <w:bottom w:w="100" w:type="dxa"/>
              <w:right w:w="100" w:type="dxa"/>
            </w:tcMar>
          </w:tcPr>
          <w:p w14:paraId="0000020B" w14:textId="77777777" w:rsidR="009C64D3" w:rsidRDefault="00000000">
            <w:pPr>
              <w:jc w:val="both"/>
              <w:rPr>
                <w:b w:val="0"/>
                <w:bCs w:val="0"/>
                <w:sz w:val="20"/>
                <w:szCs w:val="20"/>
              </w:rPr>
            </w:pPr>
            <w:r>
              <w:rPr>
                <w:b w:val="0"/>
                <w:bCs w:val="0"/>
                <w:sz w:val="20"/>
                <w:szCs w:val="20"/>
              </w:rPr>
              <w:t>tecnología de teledetección mediante pulsos de luz láser que permite medir alturas de dosel y estructuras 3D del relieve.</w:t>
            </w:r>
          </w:p>
        </w:tc>
      </w:tr>
      <w:tr w:rsidR="009C64D3" w14:paraId="045023A5" w14:textId="77777777">
        <w:trPr>
          <w:trHeight w:val="253"/>
        </w:trPr>
        <w:tc>
          <w:tcPr>
            <w:tcW w:w="2122" w:type="dxa"/>
            <w:shd w:val="clear" w:color="auto" w:fill="auto"/>
            <w:tcMar>
              <w:top w:w="100" w:type="dxa"/>
              <w:left w:w="100" w:type="dxa"/>
              <w:bottom w:w="100" w:type="dxa"/>
              <w:right w:w="100" w:type="dxa"/>
            </w:tcMar>
          </w:tcPr>
          <w:p w14:paraId="0000020C" w14:textId="77777777" w:rsidR="009C64D3" w:rsidRDefault="00000000">
            <w:pPr>
              <w:rPr>
                <w:sz w:val="20"/>
                <w:szCs w:val="20"/>
              </w:rPr>
            </w:pPr>
            <w:r>
              <w:rPr>
                <w:sz w:val="20"/>
                <w:szCs w:val="20"/>
              </w:rPr>
              <w:t>NBR:</w:t>
            </w:r>
          </w:p>
        </w:tc>
        <w:tc>
          <w:tcPr>
            <w:tcW w:w="7840" w:type="dxa"/>
            <w:shd w:val="clear" w:color="auto" w:fill="auto"/>
            <w:tcMar>
              <w:top w:w="100" w:type="dxa"/>
              <w:left w:w="100" w:type="dxa"/>
              <w:bottom w:w="100" w:type="dxa"/>
              <w:right w:w="100" w:type="dxa"/>
            </w:tcMar>
          </w:tcPr>
          <w:p w14:paraId="0000020D" w14:textId="77777777" w:rsidR="009C64D3" w:rsidRDefault="00000000">
            <w:pPr>
              <w:jc w:val="both"/>
              <w:rPr>
                <w:b w:val="0"/>
                <w:bCs w:val="0"/>
                <w:sz w:val="20"/>
                <w:szCs w:val="20"/>
              </w:rPr>
            </w:pPr>
            <w:r>
              <w:rPr>
                <w:b w:val="0"/>
                <w:bCs w:val="0"/>
                <w:sz w:val="20"/>
                <w:szCs w:val="20"/>
              </w:rPr>
              <w:t>índice espectral utilizado para identificar zonas afectadas por incendios y evaluar la severidad de las quemas.</w:t>
            </w:r>
          </w:p>
        </w:tc>
      </w:tr>
      <w:tr w:rsidR="009C64D3" w14:paraId="117411D7" w14:textId="77777777">
        <w:trPr>
          <w:trHeight w:val="253"/>
        </w:trPr>
        <w:tc>
          <w:tcPr>
            <w:tcW w:w="2122" w:type="dxa"/>
            <w:shd w:val="clear" w:color="auto" w:fill="auto"/>
            <w:tcMar>
              <w:top w:w="100" w:type="dxa"/>
              <w:left w:w="100" w:type="dxa"/>
              <w:bottom w:w="100" w:type="dxa"/>
              <w:right w:w="100" w:type="dxa"/>
            </w:tcMar>
          </w:tcPr>
          <w:p w14:paraId="0000020E" w14:textId="77777777" w:rsidR="009C64D3" w:rsidRDefault="00000000">
            <w:pPr>
              <w:rPr>
                <w:sz w:val="20"/>
                <w:szCs w:val="20"/>
              </w:rPr>
            </w:pPr>
            <w:r>
              <w:rPr>
                <w:sz w:val="20"/>
                <w:szCs w:val="20"/>
              </w:rPr>
              <w:t>NDVI:</w:t>
            </w:r>
          </w:p>
        </w:tc>
        <w:tc>
          <w:tcPr>
            <w:tcW w:w="7840" w:type="dxa"/>
            <w:shd w:val="clear" w:color="auto" w:fill="auto"/>
            <w:tcMar>
              <w:top w:w="100" w:type="dxa"/>
              <w:left w:w="100" w:type="dxa"/>
              <w:bottom w:w="100" w:type="dxa"/>
              <w:right w:w="100" w:type="dxa"/>
            </w:tcMar>
          </w:tcPr>
          <w:p w14:paraId="0000020F" w14:textId="77777777" w:rsidR="009C64D3" w:rsidRDefault="00000000">
            <w:pPr>
              <w:jc w:val="both"/>
              <w:rPr>
                <w:sz w:val="20"/>
                <w:szCs w:val="20"/>
              </w:rPr>
            </w:pPr>
            <w:r>
              <w:rPr>
                <w:b w:val="0"/>
                <w:bCs w:val="0"/>
                <w:sz w:val="20"/>
                <w:szCs w:val="20"/>
              </w:rPr>
              <w:t>índice de vegetación de diferencia normalizada que mide la presencia y vigor de la vegetación verde mediante bandas del visible e infrarrojo.</w:t>
            </w:r>
          </w:p>
        </w:tc>
      </w:tr>
      <w:tr w:rsidR="009C64D3" w14:paraId="2CDD0E9E" w14:textId="77777777">
        <w:trPr>
          <w:trHeight w:val="253"/>
        </w:trPr>
        <w:tc>
          <w:tcPr>
            <w:tcW w:w="2122" w:type="dxa"/>
            <w:shd w:val="clear" w:color="auto" w:fill="auto"/>
            <w:tcMar>
              <w:top w:w="100" w:type="dxa"/>
              <w:left w:w="100" w:type="dxa"/>
              <w:bottom w:w="100" w:type="dxa"/>
              <w:right w:w="100" w:type="dxa"/>
            </w:tcMar>
          </w:tcPr>
          <w:p w14:paraId="00000210" w14:textId="77777777" w:rsidR="009C64D3" w:rsidRDefault="00000000">
            <w:pPr>
              <w:rPr>
                <w:sz w:val="20"/>
                <w:szCs w:val="20"/>
              </w:rPr>
            </w:pPr>
            <w:r>
              <w:rPr>
                <w:sz w:val="20"/>
                <w:szCs w:val="20"/>
              </w:rPr>
              <w:t>SAVI:</w:t>
            </w:r>
          </w:p>
        </w:tc>
        <w:tc>
          <w:tcPr>
            <w:tcW w:w="7840" w:type="dxa"/>
            <w:shd w:val="clear" w:color="auto" w:fill="auto"/>
            <w:tcMar>
              <w:top w:w="100" w:type="dxa"/>
              <w:left w:w="100" w:type="dxa"/>
              <w:bottom w:w="100" w:type="dxa"/>
              <w:right w:w="100" w:type="dxa"/>
            </w:tcMar>
          </w:tcPr>
          <w:p w14:paraId="00000211" w14:textId="77777777" w:rsidR="009C64D3" w:rsidRDefault="00000000">
            <w:pPr>
              <w:jc w:val="both"/>
              <w:rPr>
                <w:sz w:val="20"/>
                <w:szCs w:val="20"/>
              </w:rPr>
            </w:pPr>
            <w:r>
              <w:rPr>
                <w:b w:val="0"/>
                <w:bCs w:val="0"/>
                <w:sz w:val="20"/>
                <w:szCs w:val="20"/>
              </w:rPr>
              <w:t>índice de vegetación ajustado al suelo que minimiza la influencia del brillo y color del suelo expuesto.</w:t>
            </w:r>
          </w:p>
        </w:tc>
      </w:tr>
      <w:tr w:rsidR="009C64D3" w14:paraId="37868F00" w14:textId="77777777">
        <w:trPr>
          <w:trHeight w:val="253"/>
        </w:trPr>
        <w:tc>
          <w:tcPr>
            <w:tcW w:w="2122" w:type="dxa"/>
            <w:shd w:val="clear" w:color="auto" w:fill="auto"/>
            <w:tcMar>
              <w:top w:w="100" w:type="dxa"/>
              <w:left w:w="100" w:type="dxa"/>
              <w:bottom w:w="100" w:type="dxa"/>
              <w:right w:w="100" w:type="dxa"/>
            </w:tcMar>
          </w:tcPr>
          <w:p w14:paraId="00000212" w14:textId="77777777" w:rsidR="009C64D3" w:rsidRDefault="00000000">
            <w:pPr>
              <w:rPr>
                <w:sz w:val="20"/>
                <w:szCs w:val="20"/>
              </w:rPr>
            </w:pPr>
            <w:r>
              <w:rPr>
                <w:sz w:val="20"/>
                <w:szCs w:val="20"/>
              </w:rPr>
              <w:t>SIG:</w:t>
            </w:r>
          </w:p>
        </w:tc>
        <w:tc>
          <w:tcPr>
            <w:tcW w:w="7840" w:type="dxa"/>
            <w:shd w:val="clear" w:color="auto" w:fill="auto"/>
            <w:tcMar>
              <w:top w:w="100" w:type="dxa"/>
              <w:left w:w="100" w:type="dxa"/>
              <w:bottom w:w="100" w:type="dxa"/>
              <w:right w:w="100" w:type="dxa"/>
            </w:tcMar>
          </w:tcPr>
          <w:p w14:paraId="00000213" w14:textId="77777777" w:rsidR="009C64D3" w:rsidRDefault="00000000">
            <w:pPr>
              <w:jc w:val="both"/>
              <w:rPr>
                <w:sz w:val="20"/>
                <w:szCs w:val="20"/>
              </w:rPr>
            </w:pPr>
            <w:r>
              <w:rPr>
                <w:b w:val="0"/>
                <w:bCs w:val="0"/>
                <w:sz w:val="20"/>
                <w:szCs w:val="20"/>
              </w:rPr>
              <w:t>plataforma de software encargada de capturar, almacenar, analizar y representar datos espaciales georreferenciados.</w:t>
            </w:r>
          </w:p>
        </w:tc>
      </w:tr>
      <w:tr w:rsidR="009C64D3" w14:paraId="4028D767" w14:textId="77777777">
        <w:trPr>
          <w:trHeight w:val="253"/>
        </w:trPr>
        <w:tc>
          <w:tcPr>
            <w:tcW w:w="2122" w:type="dxa"/>
            <w:shd w:val="clear" w:color="auto" w:fill="auto"/>
            <w:tcMar>
              <w:top w:w="100" w:type="dxa"/>
              <w:left w:w="100" w:type="dxa"/>
              <w:bottom w:w="100" w:type="dxa"/>
              <w:right w:w="100" w:type="dxa"/>
            </w:tcMar>
          </w:tcPr>
          <w:p w14:paraId="00000214" w14:textId="77777777" w:rsidR="009C64D3" w:rsidRDefault="00000000">
            <w:pPr>
              <w:rPr>
                <w:sz w:val="20"/>
                <w:szCs w:val="20"/>
              </w:rPr>
            </w:pPr>
            <w:r>
              <w:rPr>
                <w:sz w:val="20"/>
                <w:szCs w:val="20"/>
              </w:rPr>
              <w:t>SIPI:</w:t>
            </w:r>
          </w:p>
        </w:tc>
        <w:tc>
          <w:tcPr>
            <w:tcW w:w="7840" w:type="dxa"/>
            <w:shd w:val="clear" w:color="auto" w:fill="auto"/>
            <w:tcMar>
              <w:top w:w="100" w:type="dxa"/>
              <w:left w:w="100" w:type="dxa"/>
              <w:bottom w:w="100" w:type="dxa"/>
              <w:right w:w="100" w:type="dxa"/>
            </w:tcMar>
          </w:tcPr>
          <w:p w14:paraId="00000215" w14:textId="77777777" w:rsidR="009C64D3" w:rsidRDefault="00000000">
            <w:pPr>
              <w:jc w:val="both"/>
              <w:rPr>
                <w:sz w:val="20"/>
                <w:szCs w:val="20"/>
              </w:rPr>
            </w:pPr>
            <w:r>
              <w:rPr>
                <w:b w:val="0"/>
                <w:bCs w:val="0"/>
                <w:sz w:val="20"/>
                <w:szCs w:val="20"/>
              </w:rPr>
              <w:t>índice de pigmentación sensible al estrés vegetal mediante la estimación de la relación entre carotenoides y clorofila.</w:t>
            </w:r>
          </w:p>
        </w:tc>
      </w:tr>
      <w:tr w:rsidR="009C64D3" w14:paraId="79DC738A" w14:textId="77777777">
        <w:trPr>
          <w:trHeight w:val="253"/>
        </w:trPr>
        <w:tc>
          <w:tcPr>
            <w:tcW w:w="2122" w:type="dxa"/>
            <w:shd w:val="clear" w:color="auto" w:fill="auto"/>
            <w:tcMar>
              <w:top w:w="100" w:type="dxa"/>
              <w:left w:w="100" w:type="dxa"/>
              <w:bottom w:w="100" w:type="dxa"/>
              <w:right w:w="100" w:type="dxa"/>
            </w:tcMar>
          </w:tcPr>
          <w:p w14:paraId="00000216" w14:textId="77777777" w:rsidR="009C64D3" w:rsidRDefault="00000000">
            <w:pPr>
              <w:rPr>
                <w:sz w:val="20"/>
                <w:szCs w:val="20"/>
              </w:rPr>
            </w:pPr>
            <w:r>
              <w:rPr>
                <w:sz w:val="20"/>
                <w:szCs w:val="20"/>
              </w:rPr>
              <w:t>Teledetección:</w:t>
            </w:r>
          </w:p>
        </w:tc>
        <w:tc>
          <w:tcPr>
            <w:tcW w:w="7840" w:type="dxa"/>
            <w:shd w:val="clear" w:color="auto" w:fill="auto"/>
            <w:tcMar>
              <w:top w:w="100" w:type="dxa"/>
              <w:left w:w="100" w:type="dxa"/>
              <w:bottom w:w="100" w:type="dxa"/>
              <w:right w:w="100" w:type="dxa"/>
            </w:tcMar>
          </w:tcPr>
          <w:p w14:paraId="00000217" w14:textId="77777777" w:rsidR="009C64D3" w:rsidRDefault="00000000">
            <w:pPr>
              <w:jc w:val="both"/>
              <w:rPr>
                <w:sz w:val="20"/>
                <w:szCs w:val="20"/>
              </w:rPr>
            </w:pPr>
            <w:r>
              <w:rPr>
                <w:b w:val="0"/>
                <w:bCs w:val="0"/>
                <w:sz w:val="20"/>
                <w:szCs w:val="20"/>
              </w:rPr>
              <w:t>técnica que permite obtener información de la superficie terrestre a distancia mediante sensores en satélites o drones.</w:t>
            </w:r>
          </w:p>
        </w:tc>
      </w:tr>
      <w:tr w:rsidR="009C64D3" w14:paraId="19496F45" w14:textId="77777777">
        <w:trPr>
          <w:trHeight w:val="253"/>
        </w:trPr>
        <w:tc>
          <w:tcPr>
            <w:tcW w:w="2122" w:type="dxa"/>
            <w:shd w:val="clear" w:color="auto" w:fill="auto"/>
            <w:tcMar>
              <w:top w:w="100" w:type="dxa"/>
              <w:left w:w="100" w:type="dxa"/>
              <w:bottom w:w="100" w:type="dxa"/>
              <w:right w:w="100" w:type="dxa"/>
            </w:tcMar>
          </w:tcPr>
          <w:p w14:paraId="00000218" w14:textId="77777777" w:rsidR="009C64D3" w:rsidRDefault="00000000">
            <w:pPr>
              <w:jc w:val="both"/>
              <w:rPr>
                <w:sz w:val="20"/>
                <w:szCs w:val="20"/>
              </w:rPr>
            </w:pPr>
            <w:r>
              <w:rPr>
                <w:sz w:val="20"/>
                <w:szCs w:val="20"/>
              </w:rPr>
              <w:t>VANT:</w:t>
            </w:r>
          </w:p>
        </w:tc>
        <w:tc>
          <w:tcPr>
            <w:tcW w:w="7840" w:type="dxa"/>
            <w:shd w:val="clear" w:color="auto" w:fill="auto"/>
            <w:tcMar>
              <w:top w:w="100" w:type="dxa"/>
              <w:left w:w="100" w:type="dxa"/>
              <w:bottom w:w="100" w:type="dxa"/>
              <w:right w:w="100" w:type="dxa"/>
            </w:tcMar>
          </w:tcPr>
          <w:p w14:paraId="00000219" w14:textId="77777777" w:rsidR="009C64D3" w:rsidRDefault="00000000">
            <w:pPr>
              <w:jc w:val="both"/>
              <w:rPr>
                <w:sz w:val="20"/>
                <w:szCs w:val="20"/>
              </w:rPr>
            </w:pPr>
            <w:r>
              <w:rPr>
                <w:b w:val="0"/>
                <w:bCs w:val="0"/>
                <w:sz w:val="20"/>
                <w:szCs w:val="20"/>
              </w:rPr>
              <w:t>vehículo aéreo no tripulado (dron) utilizado para adquirir fotogrametría aérea de alta resolución espectral y espacial.</w:t>
            </w:r>
          </w:p>
        </w:tc>
      </w:tr>
    </w:tbl>
    <w:p w14:paraId="0000021A" w14:textId="77777777" w:rsidR="009C64D3" w:rsidRDefault="009C64D3">
      <w:pPr>
        <w:rPr>
          <w:sz w:val="20"/>
          <w:szCs w:val="20"/>
        </w:rPr>
      </w:pPr>
    </w:p>
    <w:p w14:paraId="0000021B" w14:textId="77777777" w:rsidR="009C64D3" w:rsidRDefault="009C64D3">
      <w:pPr>
        <w:rPr>
          <w:sz w:val="20"/>
          <w:szCs w:val="20"/>
        </w:rPr>
      </w:pPr>
    </w:p>
    <w:p w14:paraId="0000021C" w14:textId="77777777" w:rsidR="009C64D3" w:rsidRDefault="00000000">
      <w:pPr>
        <w:numPr>
          <w:ilvl w:val="0"/>
          <w:numId w:val="2"/>
        </w:numPr>
        <w:pBdr>
          <w:top w:val="nil"/>
          <w:left w:val="nil"/>
          <w:bottom w:val="nil"/>
          <w:right w:val="nil"/>
          <w:between w:val="nil"/>
        </w:pBdr>
        <w:ind w:left="284" w:hanging="284"/>
        <w:jc w:val="both"/>
        <w:rPr>
          <w:b/>
          <w:bCs/>
          <w:sz w:val="20"/>
          <w:szCs w:val="20"/>
        </w:rPr>
      </w:pPr>
      <w:r>
        <w:rPr>
          <w:b/>
          <w:bCs/>
          <w:sz w:val="20"/>
          <w:szCs w:val="20"/>
        </w:rPr>
        <w:lastRenderedPageBreak/>
        <w:t>REFERENCIAS BIBLIOGRÁFICAS</w:t>
      </w:r>
    </w:p>
    <w:p w14:paraId="0000021D" w14:textId="77777777" w:rsidR="009C64D3" w:rsidRDefault="009C64D3"/>
    <w:p w14:paraId="0000021E" w14:textId="77777777" w:rsidR="009C64D3" w:rsidRDefault="00000000">
      <w:pPr>
        <w:keepLines/>
        <w:spacing w:after="160" w:line="240" w:lineRule="auto"/>
        <w:ind w:left="720" w:hanging="720"/>
      </w:pPr>
      <w:r>
        <w:t xml:space="preserve">Alonso, D. (2020, 30 de julio). </w:t>
      </w:r>
      <w:r>
        <w:rPr>
          <w:i/>
          <w:iCs/>
        </w:rPr>
        <w:t>Los 6 índices de vegetación para completar el NDVI</w:t>
      </w:r>
      <w:r>
        <w:t xml:space="preserve">. MappingGIS. </w:t>
      </w:r>
      <w:hyperlink r:id="rId65">
        <w:r>
          <w:rPr>
            <w:color w:val="0563C1"/>
            <w:u w:val="single"/>
          </w:rPr>
          <w:t>https://mappinggis.com/2020/07/los-6-indices-de-vegetacion-para-completar-el-ndvi/</w:t>
        </w:r>
      </w:hyperlink>
    </w:p>
    <w:p w14:paraId="0000021F" w14:textId="77777777" w:rsidR="009C64D3" w:rsidRDefault="009C64D3"/>
    <w:p w14:paraId="00000220" w14:textId="77777777" w:rsidR="009C64D3" w:rsidRDefault="00000000">
      <w:pPr>
        <w:keepLines/>
        <w:spacing w:after="160" w:line="240" w:lineRule="auto"/>
        <w:ind w:left="720" w:hanging="720"/>
      </w:pPr>
      <w:r>
        <w:t xml:space="preserve">Chuvieco, E. (2019). </w:t>
      </w:r>
      <w:r>
        <w:rPr>
          <w:i/>
          <w:iCs/>
        </w:rPr>
        <w:t>Teledetección ambiental: La observación de la Tierra desde el espacio</w:t>
      </w:r>
      <w:r>
        <w:t xml:space="preserve">. Digital Reasons. </w:t>
      </w:r>
      <w:hyperlink r:id="rId66">
        <w:r>
          <w:rPr>
            <w:color w:val="0563C1"/>
            <w:u w:val="single"/>
          </w:rPr>
          <w:t>https://dialnet.unirioja.es/servlet/libro?codigo=767633</w:t>
        </w:r>
      </w:hyperlink>
    </w:p>
    <w:p w14:paraId="00000221" w14:textId="77777777" w:rsidR="009C64D3" w:rsidRDefault="009C64D3"/>
    <w:p w14:paraId="00000222" w14:textId="77777777" w:rsidR="009C64D3" w:rsidRDefault="00000000">
      <w:pPr>
        <w:keepLines/>
        <w:spacing w:after="160" w:line="240" w:lineRule="auto"/>
        <w:ind w:left="720" w:hanging="720"/>
      </w:pPr>
      <w:r>
        <w:t xml:space="preserve">Farfán Valencia, F. F. (2014). </w:t>
      </w:r>
      <w:r>
        <w:rPr>
          <w:i/>
          <w:iCs/>
        </w:rPr>
        <w:t>Agroforestería y sistemas agroforestales con café</w:t>
      </w:r>
      <w:r>
        <w:t xml:space="preserve">. Cenicafé. </w:t>
      </w:r>
      <w:hyperlink r:id="rId67">
        <w:r>
          <w:rPr>
            <w:color w:val="0563C1"/>
            <w:u w:val="single"/>
          </w:rPr>
          <w:t>https://doi.org/10.38141/cenbook-0081</w:t>
        </w:r>
      </w:hyperlink>
    </w:p>
    <w:p w14:paraId="00000223" w14:textId="77777777" w:rsidR="009C64D3" w:rsidRDefault="009C64D3"/>
    <w:p w14:paraId="00000224" w14:textId="77777777" w:rsidR="009C64D3" w:rsidRDefault="00000000">
      <w:pPr>
        <w:keepLines/>
        <w:spacing w:after="160" w:line="240" w:lineRule="auto"/>
        <w:ind w:left="720" w:hanging="720"/>
      </w:pPr>
      <w:r>
        <w:t xml:space="preserve">Food and Agriculture Organization of the United Nations. (2018). </w:t>
      </w:r>
      <w:r>
        <w:rPr>
          <w:i/>
          <w:iCs/>
        </w:rPr>
        <w:t>Zonificación agroecológica: Guía general</w:t>
      </w:r>
      <w:r>
        <w:t>. FAO.</w:t>
      </w:r>
    </w:p>
    <w:p w14:paraId="00000225" w14:textId="77777777" w:rsidR="009C64D3" w:rsidRDefault="009C64D3"/>
    <w:p w14:paraId="00000226" w14:textId="77777777" w:rsidR="009C64D3" w:rsidRDefault="00000000">
      <w:pPr>
        <w:keepLines/>
        <w:spacing w:after="160" w:line="240" w:lineRule="auto"/>
        <w:ind w:left="720" w:hanging="720"/>
      </w:pPr>
      <w:r>
        <w:t xml:space="preserve">Iberdrola. (s. f.). </w:t>
      </w:r>
      <w:r>
        <w:rPr>
          <w:i/>
          <w:iCs/>
        </w:rPr>
        <w:t>Greenwashing: ¿qué es y cómo detectarlo?</w:t>
      </w:r>
      <w:r>
        <w:t xml:space="preserve"> Recuperado el 24 de septiembre de 2026, de </w:t>
      </w:r>
      <w:hyperlink r:id="rId68">
        <w:r>
          <w:rPr>
            <w:color w:val="0563C1"/>
            <w:u w:val="single"/>
          </w:rPr>
          <w:t>https://www.iberdrola.com/sostenibilidad/greenwashing</w:t>
        </w:r>
      </w:hyperlink>
    </w:p>
    <w:p w14:paraId="00000227" w14:textId="77777777" w:rsidR="009C64D3" w:rsidRDefault="009C64D3"/>
    <w:p w14:paraId="00000228" w14:textId="77777777" w:rsidR="009C64D3" w:rsidRDefault="00000000">
      <w:pPr>
        <w:keepLines/>
        <w:spacing w:after="160" w:line="240" w:lineRule="auto"/>
        <w:ind w:left="720" w:hanging="720"/>
      </w:pPr>
      <w:r>
        <w:t xml:space="preserve">Intergovernmental Panel on Climate Change. (2019). </w:t>
      </w:r>
      <w:r>
        <w:rPr>
          <w:i/>
          <w:iCs/>
        </w:rPr>
        <w:t>2019 refinement to the 2006 IPCC guidelines for national greenhouse gas inventories: Volume 4. Agriculture, forestry and other land use</w:t>
      </w:r>
      <w:r>
        <w:t xml:space="preserve">. </w:t>
      </w:r>
      <w:hyperlink r:id="rId69">
        <w:r>
          <w:rPr>
            <w:color w:val="0563C1"/>
            <w:u w:val="single"/>
          </w:rPr>
          <w:t>https://www.ipcc-nggip.iges.or.jp/public/2019rf/vol4.html</w:t>
        </w:r>
      </w:hyperlink>
    </w:p>
    <w:p w14:paraId="00000229" w14:textId="77777777" w:rsidR="009C64D3" w:rsidRDefault="009C64D3"/>
    <w:p w14:paraId="0000022A" w14:textId="77777777" w:rsidR="009C64D3" w:rsidRDefault="00000000">
      <w:pPr>
        <w:keepLines/>
        <w:spacing w:after="160" w:line="240" w:lineRule="auto"/>
        <w:ind w:left="720" w:hanging="720"/>
      </w:pPr>
      <w:r>
        <w:t xml:space="preserve">Lillesand, T. M., Kiefer, R. W., &amp; Chipman, J. W. (2015). </w:t>
      </w:r>
      <w:r>
        <w:rPr>
          <w:i/>
          <w:iCs/>
        </w:rPr>
        <w:t>Remote sensing and image interpretation</w:t>
      </w:r>
      <w:r>
        <w:t xml:space="preserve"> (7th ed.). Wiley. </w:t>
      </w:r>
      <w:hyperlink r:id="rId70">
        <w:r>
          <w:rPr>
            <w:color w:val="0563C1"/>
            <w:u w:val="single"/>
          </w:rPr>
          <w:t>https://books.google.com/books?id=AFHDCAAAQBAJ</w:t>
        </w:r>
      </w:hyperlink>
    </w:p>
    <w:p w14:paraId="0000022B" w14:textId="77777777" w:rsidR="009C64D3" w:rsidRDefault="009C64D3"/>
    <w:p w14:paraId="0000022C" w14:textId="77777777" w:rsidR="009C64D3" w:rsidRDefault="00000000">
      <w:pPr>
        <w:keepLines/>
        <w:spacing w:after="160" w:line="240" w:lineRule="auto"/>
        <w:ind w:left="720" w:hanging="720"/>
      </w:pPr>
      <w:r>
        <w:t xml:space="preserve">Popescu, S. C., &amp; Wynne, R. H. (2004). Seeing the trees in the forest: Using lidar and multispectral data fusion with local filtering and variable window size for estimating tree height. </w:t>
      </w:r>
      <w:r>
        <w:rPr>
          <w:i/>
          <w:iCs/>
        </w:rPr>
        <w:t>Photogrammetric Engineering &amp; Remote Sensing, 70</w:t>
      </w:r>
      <w:r>
        <w:t xml:space="preserve">(5), 589–604. </w:t>
      </w:r>
      <w:hyperlink r:id="rId71">
        <w:r>
          <w:rPr>
            <w:color w:val="0563C1"/>
            <w:u w:val="single"/>
          </w:rPr>
          <w:t>https://doi.org/10.14358/PERS.70.5.589</w:t>
        </w:r>
      </w:hyperlink>
    </w:p>
    <w:p w14:paraId="0000022D" w14:textId="77777777" w:rsidR="009C64D3" w:rsidRDefault="009C64D3"/>
    <w:p w14:paraId="0000022E" w14:textId="77777777" w:rsidR="009C64D3" w:rsidRDefault="00000000">
      <w:pPr>
        <w:keepLines/>
        <w:spacing w:after="160" w:line="240" w:lineRule="auto"/>
        <w:ind w:left="720" w:hanging="720"/>
      </w:pPr>
      <w:r>
        <w:t xml:space="preserve">Rouse, J. W., Jr., Haas, R. H., Schell, J. A., &amp; Deering, D. W. (1974). Monitoring vegetation systems in the Great Plains with ERTS. In </w:t>
      </w:r>
      <w:r>
        <w:rPr>
          <w:i/>
          <w:iCs/>
        </w:rPr>
        <w:t>Third Earth Resources Technology Satellite-1 Symposium</w:t>
      </w:r>
      <w:r>
        <w:t xml:space="preserve"> (Vol. 1, pp. 309–317). National Aeronautics and Space Administration. </w:t>
      </w:r>
      <w:hyperlink r:id="rId72">
        <w:r>
          <w:rPr>
            <w:color w:val="0563C1"/>
            <w:u w:val="single"/>
          </w:rPr>
          <w:t>https://ntrs.nasa.gov/citations/19740022614</w:t>
        </w:r>
      </w:hyperlink>
    </w:p>
    <w:p w14:paraId="0000022F" w14:textId="77777777" w:rsidR="009C64D3" w:rsidRDefault="009C64D3"/>
    <w:p w14:paraId="00000230" w14:textId="77777777" w:rsidR="009C64D3" w:rsidRDefault="00000000">
      <w:pPr>
        <w:keepLines/>
        <w:spacing w:after="160" w:line="240" w:lineRule="auto"/>
        <w:ind w:left="720" w:hanging="720"/>
      </w:pPr>
      <w:r>
        <w:t xml:space="preserve">Sergieieva, K. (2025, 25 de septiembre). </w:t>
      </w:r>
      <w:r>
        <w:rPr>
          <w:i/>
          <w:iCs/>
        </w:rPr>
        <w:t>Índices de vegetación en la agricultura digital</w:t>
      </w:r>
      <w:r>
        <w:t xml:space="preserve">. EOS Data Analytics. </w:t>
      </w:r>
      <w:hyperlink r:id="rId73">
        <w:r>
          <w:rPr>
            <w:color w:val="0563C1"/>
            <w:u w:val="single"/>
          </w:rPr>
          <w:t>https://eos.com/es/blog/indices-de-vegetacion/</w:t>
        </w:r>
      </w:hyperlink>
    </w:p>
    <w:p w14:paraId="00000231" w14:textId="77777777" w:rsidR="009C64D3" w:rsidRDefault="009C64D3"/>
    <w:p w14:paraId="00000232" w14:textId="77777777" w:rsidR="009C64D3" w:rsidRDefault="00000000">
      <w:pPr>
        <w:keepLines/>
        <w:spacing w:after="160" w:line="240" w:lineRule="auto"/>
        <w:ind w:left="720" w:hanging="720"/>
      </w:pPr>
      <w:r>
        <w:t xml:space="preserve">Sharma, P., Bhardwaj, D. R., Singh, M. K., Nigam, R., Pala, N. A., Kumar, A., Verma, K., Kumar, D., &amp; Thakur, P. (2023). Geospatial technology in agroforestry: Status, prospects, and constraints. </w:t>
      </w:r>
      <w:r>
        <w:rPr>
          <w:i/>
          <w:iCs/>
        </w:rPr>
        <w:t>Environmental Science and Pollution Research, 30</w:t>
      </w:r>
      <w:r>
        <w:t xml:space="preserve">(55), 116459–116487. </w:t>
      </w:r>
      <w:hyperlink r:id="rId74">
        <w:r>
          <w:rPr>
            <w:color w:val="0563C1"/>
            <w:u w:val="single"/>
          </w:rPr>
          <w:t>https://doi.org/10.1007/s11356-022-20305-y</w:t>
        </w:r>
      </w:hyperlink>
    </w:p>
    <w:p w14:paraId="00000233" w14:textId="77777777" w:rsidR="009C64D3" w:rsidRDefault="009C64D3">
      <w:pPr>
        <w:pBdr>
          <w:top w:val="nil"/>
          <w:left w:val="nil"/>
          <w:bottom w:val="nil"/>
          <w:right w:val="nil"/>
          <w:between w:val="nil"/>
        </w:pBdr>
        <w:ind w:left="720"/>
        <w:jc w:val="both"/>
        <w:rPr>
          <w:b/>
          <w:bCs/>
          <w:sz w:val="20"/>
          <w:szCs w:val="20"/>
        </w:rPr>
      </w:pPr>
    </w:p>
    <w:p w14:paraId="00000234" w14:textId="77777777" w:rsidR="009C64D3" w:rsidRDefault="009C64D3">
      <w:pPr>
        <w:pBdr>
          <w:top w:val="nil"/>
          <w:left w:val="nil"/>
          <w:bottom w:val="nil"/>
          <w:right w:val="nil"/>
          <w:between w:val="nil"/>
        </w:pBdr>
        <w:ind w:left="720"/>
        <w:jc w:val="both"/>
        <w:rPr>
          <w:b/>
          <w:bCs/>
          <w:sz w:val="20"/>
          <w:szCs w:val="20"/>
        </w:rPr>
      </w:pPr>
    </w:p>
    <w:p w14:paraId="00000235" w14:textId="77777777" w:rsidR="009C64D3" w:rsidRDefault="00000000">
      <w:pPr>
        <w:numPr>
          <w:ilvl w:val="0"/>
          <w:numId w:val="2"/>
        </w:numPr>
        <w:pBdr>
          <w:top w:val="nil"/>
          <w:left w:val="nil"/>
          <w:bottom w:val="nil"/>
          <w:right w:val="nil"/>
          <w:between w:val="nil"/>
        </w:pBdr>
        <w:ind w:left="284" w:hanging="284"/>
        <w:jc w:val="both"/>
        <w:rPr>
          <w:b/>
          <w:bCs/>
          <w:sz w:val="20"/>
          <w:szCs w:val="20"/>
        </w:rPr>
      </w:pPr>
      <w:r>
        <w:rPr>
          <w:b/>
          <w:bCs/>
          <w:sz w:val="20"/>
          <w:szCs w:val="20"/>
        </w:rPr>
        <w:t>CONTROL DEL DOCUMENTO</w:t>
      </w:r>
    </w:p>
    <w:p w14:paraId="00000236" w14:textId="77777777" w:rsidR="009C64D3" w:rsidRDefault="009C64D3">
      <w:pPr>
        <w:jc w:val="both"/>
        <w:rPr>
          <w:b/>
          <w:bCs/>
          <w:sz w:val="20"/>
          <w:szCs w:val="20"/>
        </w:rPr>
      </w:pPr>
    </w:p>
    <w:tbl>
      <w:tblPr>
        <w:tblStyle w:val="afffffffc"/>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9C64D3" w14:paraId="313E6064" w14:textId="77777777">
        <w:trPr>
          <w:trHeight w:val="1020"/>
        </w:trPr>
        <w:tc>
          <w:tcPr>
            <w:tcW w:w="1272" w:type="dxa"/>
            <w:tcBorders>
              <w:top w:val="nil"/>
              <w:left w:val="nil"/>
            </w:tcBorders>
            <w:shd w:val="clear" w:color="auto" w:fill="auto"/>
          </w:tcPr>
          <w:p w14:paraId="00000237" w14:textId="77777777" w:rsidR="009C64D3" w:rsidRDefault="009C64D3">
            <w:pPr>
              <w:spacing w:line="276" w:lineRule="auto"/>
              <w:jc w:val="both"/>
              <w:rPr>
                <w:sz w:val="20"/>
                <w:szCs w:val="20"/>
              </w:rPr>
            </w:pPr>
          </w:p>
        </w:tc>
        <w:tc>
          <w:tcPr>
            <w:tcW w:w="1991" w:type="dxa"/>
            <w:shd w:val="clear" w:color="auto" w:fill="auto"/>
            <w:vAlign w:val="center"/>
          </w:tcPr>
          <w:p w14:paraId="00000238" w14:textId="77777777" w:rsidR="009C64D3" w:rsidRDefault="00000000">
            <w:pPr>
              <w:spacing w:line="276" w:lineRule="auto"/>
              <w:jc w:val="center"/>
              <w:rPr>
                <w:sz w:val="20"/>
                <w:szCs w:val="20"/>
              </w:rPr>
            </w:pPr>
            <w:r>
              <w:rPr>
                <w:sz w:val="20"/>
                <w:szCs w:val="20"/>
              </w:rPr>
              <w:t>Nombre</w:t>
            </w:r>
          </w:p>
        </w:tc>
        <w:tc>
          <w:tcPr>
            <w:tcW w:w="1559" w:type="dxa"/>
            <w:shd w:val="clear" w:color="auto" w:fill="auto"/>
            <w:vAlign w:val="center"/>
          </w:tcPr>
          <w:p w14:paraId="00000239" w14:textId="77777777" w:rsidR="009C64D3" w:rsidRDefault="00000000">
            <w:pPr>
              <w:spacing w:line="276" w:lineRule="auto"/>
              <w:jc w:val="center"/>
              <w:rPr>
                <w:sz w:val="20"/>
                <w:szCs w:val="20"/>
              </w:rPr>
            </w:pPr>
            <w:r>
              <w:rPr>
                <w:sz w:val="20"/>
                <w:szCs w:val="20"/>
              </w:rPr>
              <w:t>Cargo</w:t>
            </w:r>
          </w:p>
        </w:tc>
        <w:tc>
          <w:tcPr>
            <w:tcW w:w="3257" w:type="dxa"/>
            <w:shd w:val="clear" w:color="auto" w:fill="auto"/>
            <w:vAlign w:val="center"/>
          </w:tcPr>
          <w:p w14:paraId="0000023A" w14:textId="77777777" w:rsidR="009C64D3" w:rsidRDefault="00000000">
            <w:pPr>
              <w:spacing w:line="276" w:lineRule="auto"/>
              <w:jc w:val="center"/>
              <w:rPr>
                <w:sz w:val="20"/>
                <w:szCs w:val="20"/>
              </w:rPr>
            </w:pPr>
            <w:r>
              <w:rPr>
                <w:sz w:val="20"/>
                <w:szCs w:val="20"/>
              </w:rPr>
              <w:t>Dependencia</w:t>
            </w:r>
          </w:p>
          <w:p w14:paraId="0000023B" w14:textId="77777777" w:rsidR="009C64D3" w:rsidRDefault="00000000">
            <w:pPr>
              <w:spacing w:line="276" w:lineRule="auto"/>
              <w:jc w:val="center"/>
              <w:rPr>
                <w:i/>
                <w:iCs/>
                <w:sz w:val="20"/>
                <w:szCs w:val="20"/>
              </w:rPr>
            </w:pPr>
            <w:r>
              <w:rPr>
                <w:i/>
                <w:iCs/>
                <w:sz w:val="18"/>
                <w:szCs w:val="18"/>
              </w:rPr>
              <w:br/>
              <w:t>(Para el SENA indicar Regional y Centro de Formación)</w:t>
            </w:r>
          </w:p>
        </w:tc>
        <w:tc>
          <w:tcPr>
            <w:tcW w:w="1888" w:type="dxa"/>
            <w:shd w:val="clear" w:color="auto" w:fill="auto"/>
            <w:vAlign w:val="center"/>
          </w:tcPr>
          <w:p w14:paraId="0000023C" w14:textId="77777777" w:rsidR="009C64D3" w:rsidRDefault="00000000">
            <w:pPr>
              <w:spacing w:line="276" w:lineRule="auto"/>
              <w:jc w:val="center"/>
              <w:rPr>
                <w:sz w:val="20"/>
                <w:szCs w:val="20"/>
              </w:rPr>
            </w:pPr>
            <w:r>
              <w:rPr>
                <w:sz w:val="20"/>
                <w:szCs w:val="20"/>
              </w:rPr>
              <w:t>Fecha</w:t>
            </w:r>
          </w:p>
        </w:tc>
      </w:tr>
      <w:tr w:rsidR="009C64D3" w14:paraId="4104AA41" w14:textId="77777777">
        <w:trPr>
          <w:trHeight w:val="340"/>
        </w:trPr>
        <w:tc>
          <w:tcPr>
            <w:tcW w:w="1272" w:type="dxa"/>
            <w:shd w:val="clear" w:color="auto" w:fill="auto"/>
          </w:tcPr>
          <w:p w14:paraId="0000023D" w14:textId="77777777" w:rsidR="009C64D3" w:rsidRDefault="00000000">
            <w:pPr>
              <w:spacing w:line="276" w:lineRule="auto"/>
              <w:jc w:val="both"/>
              <w:rPr>
                <w:sz w:val="20"/>
                <w:szCs w:val="20"/>
              </w:rPr>
            </w:pPr>
            <w:r>
              <w:rPr>
                <w:sz w:val="20"/>
                <w:szCs w:val="20"/>
              </w:rPr>
              <w:t>Autor (es)</w:t>
            </w:r>
          </w:p>
        </w:tc>
        <w:tc>
          <w:tcPr>
            <w:tcW w:w="1991" w:type="dxa"/>
            <w:shd w:val="clear" w:color="auto" w:fill="auto"/>
          </w:tcPr>
          <w:p w14:paraId="0000023E" w14:textId="77777777" w:rsidR="009C64D3" w:rsidRDefault="00000000">
            <w:pPr>
              <w:jc w:val="both"/>
              <w:rPr>
                <w:b w:val="0"/>
                <w:bCs w:val="0"/>
                <w:sz w:val="20"/>
                <w:szCs w:val="20"/>
              </w:rPr>
            </w:pPr>
            <w:r>
              <w:rPr>
                <w:b w:val="0"/>
                <w:bCs w:val="0"/>
                <w:sz w:val="20"/>
                <w:szCs w:val="20"/>
              </w:rPr>
              <w:t>Ángel Mauricio García Urbano</w:t>
            </w:r>
          </w:p>
        </w:tc>
        <w:tc>
          <w:tcPr>
            <w:tcW w:w="1559" w:type="dxa"/>
            <w:shd w:val="clear" w:color="auto" w:fill="auto"/>
          </w:tcPr>
          <w:p w14:paraId="0000023F" w14:textId="77777777" w:rsidR="009C64D3" w:rsidRDefault="00000000">
            <w:pPr>
              <w:jc w:val="both"/>
              <w:rPr>
                <w:b w:val="0"/>
                <w:bCs w:val="0"/>
                <w:sz w:val="20"/>
                <w:szCs w:val="20"/>
              </w:rPr>
            </w:pPr>
            <w:r>
              <w:rPr>
                <w:b w:val="0"/>
                <w:bCs w:val="0"/>
                <w:sz w:val="20"/>
                <w:szCs w:val="20"/>
              </w:rPr>
              <w:t>Contratista</w:t>
            </w:r>
          </w:p>
        </w:tc>
        <w:tc>
          <w:tcPr>
            <w:tcW w:w="3257" w:type="dxa"/>
            <w:shd w:val="clear" w:color="auto" w:fill="auto"/>
          </w:tcPr>
          <w:p w14:paraId="00000240" w14:textId="77777777" w:rsidR="009C64D3" w:rsidRDefault="00000000">
            <w:pPr>
              <w:jc w:val="both"/>
              <w:rPr>
                <w:b w:val="0"/>
                <w:bCs w:val="0"/>
                <w:sz w:val="20"/>
                <w:szCs w:val="20"/>
              </w:rPr>
            </w:pPr>
            <w:r>
              <w:rPr>
                <w:b w:val="0"/>
                <w:bCs w:val="0"/>
                <w:sz w:val="20"/>
                <w:szCs w:val="20"/>
              </w:rPr>
              <w:t>Centro Agropecuario de Buga (CAB)</w:t>
            </w:r>
          </w:p>
        </w:tc>
        <w:tc>
          <w:tcPr>
            <w:tcW w:w="1888" w:type="dxa"/>
            <w:shd w:val="clear" w:color="auto" w:fill="auto"/>
          </w:tcPr>
          <w:p w14:paraId="00000241" w14:textId="77777777" w:rsidR="009C64D3" w:rsidRDefault="00000000">
            <w:pPr>
              <w:jc w:val="both"/>
              <w:rPr>
                <w:b w:val="0"/>
                <w:bCs w:val="0"/>
                <w:sz w:val="20"/>
                <w:szCs w:val="20"/>
              </w:rPr>
            </w:pPr>
            <w:r>
              <w:rPr>
                <w:b w:val="0"/>
                <w:bCs w:val="0"/>
                <w:sz w:val="20"/>
                <w:szCs w:val="20"/>
              </w:rPr>
              <w:t>04/09/2026</w:t>
            </w:r>
          </w:p>
        </w:tc>
      </w:tr>
      <w:tr w:rsidR="009C64D3" w14:paraId="6B0455DA" w14:textId="77777777">
        <w:trPr>
          <w:trHeight w:val="340"/>
        </w:trPr>
        <w:tc>
          <w:tcPr>
            <w:tcW w:w="1272" w:type="dxa"/>
            <w:shd w:val="clear" w:color="auto" w:fill="auto"/>
          </w:tcPr>
          <w:p w14:paraId="00000242" w14:textId="77777777" w:rsidR="009C64D3" w:rsidRDefault="009C64D3">
            <w:pPr>
              <w:spacing w:line="276" w:lineRule="auto"/>
              <w:jc w:val="both"/>
              <w:rPr>
                <w:sz w:val="20"/>
                <w:szCs w:val="20"/>
              </w:rPr>
            </w:pPr>
          </w:p>
        </w:tc>
        <w:tc>
          <w:tcPr>
            <w:tcW w:w="1991" w:type="dxa"/>
            <w:shd w:val="clear" w:color="auto" w:fill="auto"/>
          </w:tcPr>
          <w:p w14:paraId="00000243" w14:textId="77777777" w:rsidR="009C64D3" w:rsidRDefault="00000000">
            <w:pPr>
              <w:jc w:val="both"/>
              <w:rPr>
                <w:b w:val="0"/>
                <w:bCs w:val="0"/>
                <w:sz w:val="20"/>
                <w:szCs w:val="20"/>
              </w:rPr>
            </w:pPr>
            <w:r>
              <w:rPr>
                <w:b w:val="0"/>
                <w:bCs w:val="0"/>
                <w:sz w:val="20"/>
                <w:szCs w:val="20"/>
              </w:rPr>
              <w:t>Paula Marcela Vidal Quinter</w:t>
            </w:r>
          </w:p>
        </w:tc>
        <w:tc>
          <w:tcPr>
            <w:tcW w:w="1559" w:type="dxa"/>
            <w:shd w:val="clear" w:color="auto" w:fill="auto"/>
          </w:tcPr>
          <w:p w14:paraId="00000244" w14:textId="77777777" w:rsidR="009C64D3" w:rsidRDefault="00000000">
            <w:pPr>
              <w:jc w:val="both"/>
              <w:rPr>
                <w:b w:val="0"/>
                <w:bCs w:val="0"/>
                <w:sz w:val="20"/>
                <w:szCs w:val="20"/>
              </w:rPr>
            </w:pPr>
            <w:r>
              <w:rPr>
                <w:b w:val="0"/>
                <w:bCs w:val="0"/>
                <w:sz w:val="20"/>
                <w:szCs w:val="20"/>
              </w:rPr>
              <w:t>Evaluadora Instruccional</w:t>
            </w:r>
          </w:p>
        </w:tc>
        <w:tc>
          <w:tcPr>
            <w:tcW w:w="3257" w:type="dxa"/>
            <w:shd w:val="clear" w:color="auto" w:fill="auto"/>
          </w:tcPr>
          <w:p w14:paraId="00000245" w14:textId="77777777" w:rsidR="009C64D3" w:rsidRDefault="00000000">
            <w:pPr>
              <w:jc w:val="both"/>
              <w:rPr>
                <w:b w:val="0"/>
                <w:bCs w:val="0"/>
                <w:sz w:val="20"/>
                <w:szCs w:val="20"/>
              </w:rPr>
            </w:pPr>
            <w:r>
              <w:rPr>
                <w:b w:val="0"/>
                <w:bCs w:val="0"/>
                <w:sz w:val="20"/>
                <w:szCs w:val="20"/>
              </w:rPr>
              <w:t>Centro Agroempresarial y Desarrollo Pecuario del Huila, Regional Huila</w:t>
            </w:r>
          </w:p>
        </w:tc>
        <w:tc>
          <w:tcPr>
            <w:tcW w:w="1888" w:type="dxa"/>
            <w:shd w:val="clear" w:color="auto" w:fill="auto"/>
          </w:tcPr>
          <w:p w14:paraId="00000246" w14:textId="77777777" w:rsidR="009C64D3" w:rsidRDefault="00000000">
            <w:pPr>
              <w:jc w:val="both"/>
              <w:rPr>
                <w:b w:val="0"/>
                <w:bCs w:val="0"/>
                <w:sz w:val="20"/>
                <w:szCs w:val="20"/>
              </w:rPr>
            </w:pPr>
            <w:r>
              <w:rPr>
                <w:b w:val="0"/>
                <w:bCs w:val="0"/>
                <w:sz w:val="20"/>
                <w:szCs w:val="20"/>
              </w:rPr>
              <w:t>22/09/2026</w:t>
            </w:r>
          </w:p>
        </w:tc>
      </w:tr>
    </w:tbl>
    <w:p w14:paraId="00000247" w14:textId="77777777" w:rsidR="009C64D3" w:rsidRDefault="009C64D3">
      <w:pPr>
        <w:rPr>
          <w:sz w:val="20"/>
          <w:szCs w:val="20"/>
        </w:rPr>
      </w:pPr>
    </w:p>
    <w:p w14:paraId="00000248" w14:textId="77777777" w:rsidR="009C64D3" w:rsidRDefault="009C64D3">
      <w:pPr>
        <w:rPr>
          <w:sz w:val="20"/>
          <w:szCs w:val="20"/>
        </w:rPr>
      </w:pPr>
    </w:p>
    <w:p w14:paraId="00000249" w14:textId="77777777" w:rsidR="009C64D3" w:rsidRDefault="00000000">
      <w:pPr>
        <w:numPr>
          <w:ilvl w:val="0"/>
          <w:numId w:val="2"/>
        </w:numPr>
        <w:pBdr>
          <w:top w:val="nil"/>
          <w:left w:val="nil"/>
          <w:bottom w:val="nil"/>
          <w:right w:val="nil"/>
          <w:between w:val="nil"/>
        </w:pBdr>
        <w:ind w:left="284" w:hanging="284"/>
        <w:jc w:val="both"/>
        <w:rPr>
          <w:b/>
          <w:bCs/>
          <w:sz w:val="20"/>
          <w:szCs w:val="20"/>
        </w:rPr>
      </w:pPr>
      <w:r>
        <w:rPr>
          <w:b/>
          <w:bCs/>
          <w:sz w:val="20"/>
          <w:szCs w:val="20"/>
        </w:rPr>
        <w:t xml:space="preserve">CONTROL DE CAMBIOS </w:t>
      </w:r>
    </w:p>
    <w:p w14:paraId="0000024A" w14:textId="77777777" w:rsidR="009C64D3" w:rsidRDefault="00000000">
      <w:pPr>
        <w:pBdr>
          <w:top w:val="nil"/>
          <w:left w:val="nil"/>
          <w:bottom w:val="nil"/>
          <w:right w:val="nil"/>
          <w:between w:val="nil"/>
        </w:pBdr>
        <w:jc w:val="both"/>
        <w:rPr>
          <w:b/>
          <w:bCs/>
          <w:sz w:val="20"/>
          <w:szCs w:val="20"/>
        </w:rPr>
      </w:pPr>
      <w:r>
        <w:rPr>
          <w:b/>
          <w:bCs/>
          <w:sz w:val="20"/>
          <w:szCs w:val="20"/>
        </w:rPr>
        <w:t>(Diligenciar únicamente si realiza ajustes a la Unidad Temática)</w:t>
      </w:r>
    </w:p>
    <w:p w14:paraId="0000024B" w14:textId="77777777" w:rsidR="009C64D3" w:rsidRDefault="009C64D3">
      <w:pPr>
        <w:rPr>
          <w:sz w:val="20"/>
          <w:szCs w:val="20"/>
        </w:rPr>
      </w:pPr>
    </w:p>
    <w:tbl>
      <w:tblPr>
        <w:tblStyle w:val="affffff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9C64D3" w14:paraId="205E8F06" w14:textId="77777777">
        <w:trPr>
          <w:trHeight w:val="349"/>
        </w:trPr>
        <w:tc>
          <w:tcPr>
            <w:tcW w:w="1264" w:type="dxa"/>
            <w:tcBorders>
              <w:top w:val="nil"/>
              <w:left w:val="nil"/>
            </w:tcBorders>
            <w:shd w:val="clear" w:color="auto" w:fill="auto"/>
          </w:tcPr>
          <w:p w14:paraId="0000024C" w14:textId="77777777" w:rsidR="009C64D3" w:rsidRDefault="009C64D3">
            <w:pPr>
              <w:spacing w:line="276" w:lineRule="auto"/>
              <w:jc w:val="both"/>
              <w:rPr>
                <w:sz w:val="20"/>
                <w:szCs w:val="20"/>
              </w:rPr>
            </w:pPr>
          </w:p>
        </w:tc>
        <w:tc>
          <w:tcPr>
            <w:tcW w:w="2138" w:type="dxa"/>
            <w:shd w:val="clear" w:color="auto" w:fill="auto"/>
          </w:tcPr>
          <w:p w14:paraId="0000024D" w14:textId="77777777" w:rsidR="009C64D3" w:rsidRDefault="00000000">
            <w:pPr>
              <w:spacing w:line="276" w:lineRule="auto"/>
              <w:jc w:val="center"/>
              <w:rPr>
                <w:sz w:val="20"/>
                <w:szCs w:val="20"/>
              </w:rPr>
            </w:pPr>
            <w:r>
              <w:rPr>
                <w:sz w:val="20"/>
                <w:szCs w:val="20"/>
              </w:rPr>
              <w:t>Nombre</w:t>
            </w:r>
          </w:p>
        </w:tc>
        <w:tc>
          <w:tcPr>
            <w:tcW w:w="1701" w:type="dxa"/>
            <w:shd w:val="clear" w:color="auto" w:fill="auto"/>
          </w:tcPr>
          <w:p w14:paraId="0000024E" w14:textId="77777777" w:rsidR="009C64D3" w:rsidRDefault="00000000">
            <w:pPr>
              <w:spacing w:line="276" w:lineRule="auto"/>
              <w:jc w:val="center"/>
              <w:rPr>
                <w:sz w:val="20"/>
                <w:szCs w:val="20"/>
              </w:rPr>
            </w:pPr>
            <w:r>
              <w:rPr>
                <w:sz w:val="20"/>
                <w:szCs w:val="20"/>
              </w:rPr>
              <w:t>Cargo</w:t>
            </w:r>
          </w:p>
        </w:tc>
        <w:tc>
          <w:tcPr>
            <w:tcW w:w="1843" w:type="dxa"/>
            <w:shd w:val="clear" w:color="auto" w:fill="auto"/>
          </w:tcPr>
          <w:p w14:paraId="0000024F" w14:textId="77777777" w:rsidR="009C64D3" w:rsidRDefault="00000000">
            <w:pPr>
              <w:spacing w:line="276" w:lineRule="auto"/>
              <w:jc w:val="center"/>
              <w:rPr>
                <w:sz w:val="20"/>
                <w:szCs w:val="20"/>
              </w:rPr>
            </w:pPr>
            <w:r>
              <w:rPr>
                <w:sz w:val="20"/>
                <w:szCs w:val="20"/>
              </w:rPr>
              <w:t>Dependencia</w:t>
            </w:r>
          </w:p>
        </w:tc>
        <w:tc>
          <w:tcPr>
            <w:tcW w:w="1044" w:type="dxa"/>
            <w:shd w:val="clear" w:color="auto" w:fill="auto"/>
          </w:tcPr>
          <w:p w14:paraId="00000250" w14:textId="77777777" w:rsidR="009C64D3" w:rsidRDefault="00000000">
            <w:pPr>
              <w:spacing w:line="276" w:lineRule="auto"/>
              <w:jc w:val="center"/>
              <w:rPr>
                <w:sz w:val="20"/>
                <w:szCs w:val="20"/>
              </w:rPr>
            </w:pPr>
            <w:r>
              <w:rPr>
                <w:sz w:val="20"/>
                <w:szCs w:val="20"/>
              </w:rPr>
              <w:t>Fecha</w:t>
            </w:r>
          </w:p>
        </w:tc>
        <w:tc>
          <w:tcPr>
            <w:tcW w:w="1977" w:type="dxa"/>
            <w:shd w:val="clear" w:color="auto" w:fill="auto"/>
          </w:tcPr>
          <w:p w14:paraId="00000251" w14:textId="77777777" w:rsidR="009C64D3" w:rsidRDefault="00000000">
            <w:pPr>
              <w:spacing w:line="276" w:lineRule="auto"/>
              <w:jc w:val="center"/>
              <w:rPr>
                <w:sz w:val="20"/>
                <w:szCs w:val="20"/>
              </w:rPr>
            </w:pPr>
            <w:r>
              <w:rPr>
                <w:sz w:val="20"/>
                <w:szCs w:val="20"/>
              </w:rPr>
              <w:t>Razón del Cambio</w:t>
            </w:r>
          </w:p>
        </w:tc>
      </w:tr>
      <w:tr w:rsidR="009C64D3" w14:paraId="66A19233" w14:textId="77777777">
        <w:trPr>
          <w:trHeight w:val="567"/>
        </w:trPr>
        <w:tc>
          <w:tcPr>
            <w:tcW w:w="1264" w:type="dxa"/>
            <w:shd w:val="clear" w:color="auto" w:fill="auto"/>
          </w:tcPr>
          <w:p w14:paraId="00000252" w14:textId="77777777" w:rsidR="009C64D3" w:rsidRDefault="00000000">
            <w:pPr>
              <w:spacing w:line="276" w:lineRule="auto"/>
              <w:jc w:val="both"/>
              <w:rPr>
                <w:sz w:val="20"/>
                <w:szCs w:val="20"/>
              </w:rPr>
            </w:pPr>
            <w:r>
              <w:rPr>
                <w:sz w:val="20"/>
                <w:szCs w:val="20"/>
              </w:rPr>
              <w:t>Autor (es)</w:t>
            </w:r>
          </w:p>
        </w:tc>
        <w:tc>
          <w:tcPr>
            <w:tcW w:w="2138" w:type="dxa"/>
            <w:shd w:val="clear" w:color="auto" w:fill="auto"/>
          </w:tcPr>
          <w:p w14:paraId="00000253" w14:textId="77777777" w:rsidR="009C64D3" w:rsidRDefault="009C64D3">
            <w:pPr>
              <w:spacing w:line="276" w:lineRule="auto"/>
              <w:jc w:val="both"/>
              <w:rPr>
                <w:sz w:val="20"/>
                <w:szCs w:val="20"/>
              </w:rPr>
            </w:pPr>
          </w:p>
        </w:tc>
        <w:tc>
          <w:tcPr>
            <w:tcW w:w="1701" w:type="dxa"/>
            <w:shd w:val="clear" w:color="auto" w:fill="auto"/>
          </w:tcPr>
          <w:p w14:paraId="00000254" w14:textId="77777777" w:rsidR="009C64D3" w:rsidRDefault="009C64D3">
            <w:pPr>
              <w:spacing w:line="276" w:lineRule="auto"/>
              <w:jc w:val="both"/>
              <w:rPr>
                <w:sz w:val="20"/>
                <w:szCs w:val="20"/>
              </w:rPr>
            </w:pPr>
          </w:p>
        </w:tc>
        <w:tc>
          <w:tcPr>
            <w:tcW w:w="1843" w:type="dxa"/>
            <w:shd w:val="clear" w:color="auto" w:fill="auto"/>
          </w:tcPr>
          <w:p w14:paraId="00000255" w14:textId="77777777" w:rsidR="009C64D3" w:rsidRDefault="009C64D3">
            <w:pPr>
              <w:spacing w:line="276" w:lineRule="auto"/>
              <w:jc w:val="both"/>
              <w:rPr>
                <w:sz w:val="20"/>
                <w:szCs w:val="20"/>
              </w:rPr>
            </w:pPr>
          </w:p>
        </w:tc>
        <w:tc>
          <w:tcPr>
            <w:tcW w:w="1044" w:type="dxa"/>
            <w:shd w:val="clear" w:color="auto" w:fill="auto"/>
          </w:tcPr>
          <w:p w14:paraId="00000256" w14:textId="77777777" w:rsidR="009C64D3" w:rsidRDefault="009C64D3">
            <w:pPr>
              <w:spacing w:line="276" w:lineRule="auto"/>
              <w:jc w:val="both"/>
              <w:rPr>
                <w:sz w:val="20"/>
                <w:szCs w:val="20"/>
              </w:rPr>
            </w:pPr>
          </w:p>
        </w:tc>
        <w:tc>
          <w:tcPr>
            <w:tcW w:w="1977" w:type="dxa"/>
            <w:shd w:val="clear" w:color="auto" w:fill="auto"/>
          </w:tcPr>
          <w:p w14:paraId="00000257" w14:textId="77777777" w:rsidR="009C64D3" w:rsidRDefault="009C64D3">
            <w:pPr>
              <w:spacing w:line="276" w:lineRule="auto"/>
              <w:jc w:val="both"/>
              <w:rPr>
                <w:sz w:val="20"/>
                <w:szCs w:val="20"/>
              </w:rPr>
            </w:pPr>
          </w:p>
        </w:tc>
      </w:tr>
    </w:tbl>
    <w:p w14:paraId="00000258" w14:textId="77777777" w:rsidR="009C64D3" w:rsidRDefault="009C64D3">
      <w:pPr>
        <w:rPr>
          <w:sz w:val="20"/>
          <w:szCs w:val="20"/>
        </w:rPr>
      </w:pPr>
    </w:p>
    <w:p w14:paraId="00000259" w14:textId="77777777" w:rsidR="009C64D3" w:rsidRDefault="009C64D3">
      <w:pPr>
        <w:rPr>
          <w:sz w:val="20"/>
          <w:szCs w:val="20"/>
        </w:rPr>
      </w:pPr>
    </w:p>
    <w:p w14:paraId="0000025A" w14:textId="77777777" w:rsidR="009C64D3" w:rsidRDefault="00000000">
      <w:pPr>
        <w:rPr>
          <w:sz w:val="20"/>
          <w:szCs w:val="20"/>
        </w:rPr>
      </w:pPr>
      <w:r>
        <w:rPr>
          <w:sz w:val="20"/>
          <w:szCs w:val="20"/>
        </w:rPr>
        <w:t xml:space="preserve"> </w:t>
      </w:r>
    </w:p>
    <w:sectPr w:rsidR="009C64D3">
      <w:headerReference w:type="default" r:id="rId75"/>
      <w:footerReference w:type="default" r:id="rId7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4" w:author="Paula Marcela Vidal Quintero" w:date="2026-09-23T21:05:00Z" w:initials="">
    <w:p w14:paraId="0000026A" w14:textId="77777777" w:rsidR="009C64D3" w:rsidRDefault="00DC122F">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La imagen fue aportada con el experto temático en el contenido que entregó.</w:t>
      </w:r>
    </w:p>
  </w:comment>
  <w:comment w:id="15" w:author="Paula Marcela Vidal Quintero" w:date="2026-09-23T21:07:00Z" w:initials="">
    <w:p w14:paraId="00000267" w14:textId="77777777" w:rsidR="009C64D3" w:rsidRDefault="00DC122F">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Imagen aportada por el experto temático del componente formativo.</w:t>
      </w:r>
    </w:p>
  </w:comment>
  <w:comment w:id="16" w:author="Paula Marcela Vidal Quintero" w:date="2026-09-23T21:08:00Z" w:initials="">
    <w:p w14:paraId="00000263" w14:textId="77777777" w:rsidR="009C64D3" w:rsidRDefault="00DC122F">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Imagen aportada por el experto temático del componente formativo.</w:t>
      </w:r>
    </w:p>
  </w:comment>
  <w:comment w:id="17" w:author="Paula Marcela Vidal Quintero" w:date="2026-09-23T21:10:00Z" w:initials="">
    <w:p w14:paraId="00000269" w14:textId="77777777" w:rsidR="009C64D3" w:rsidRDefault="00DC122F">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Imagen aportada por el experto temático del componente formativo.</w:t>
      </w:r>
    </w:p>
  </w:comment>
  <w:comment w:id="18" w:author="Paula Marcela Vidal Quintero" w:date="2026-09-23T21:11:00Z" w:initials="">
    <w:p w14:paraId="00000266" w14:textId="77777777" w:rsidR="009C64D3" w:rsidRDefault="00DC122F">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La imagen fue aportada por el experto temático del componente formativo.</w:t>
      </w:r>
    </w:p>
  </w:comment>
  <w:comment w:id="19" w:author="Paula Marcela Vidal Quintero" w:date="2026-09-23T21:12:00Z" w:initials="">
    <w:p w14:paraId="00000265" w14:textId="77777777" w:rsidR="009C64D3" w:rsidRDefault="00DC122F">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La imagen fue aportada por el experto temático del componente formativo.</w:t>
      </w:r>
    </w:p>
  </w:comment>
  <w:comment w:id="20" w:author="Paula Marcela Vidal Quintero" w:date="2026-09-23T21:13:00Z" w:initials="">
    <w:p w14:paraId="00000262" w14:textId="77777777" w:rsidR="009C64D3" w:rsidRDefault="00DC122F">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La imagen fue aportada por el experto temático del componente formativo.</w:t>
      </w:r>
    </w:p>
  </w:comment>
  <w:comment w:id="23" w:author="Paula Marcela Vidal Quintero" w:date="2026-09-23T21:25:00Z" w:initials="">
    <w:p w14:paraId="00000264" w14:textId="77777777" w:rsidR="009C64D3" w:rsidRDefault="00DC122F">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Texto alternativo: captura de pantalla de la integración de Orfeo ToolBox (OTB) en QGIS. En el panel de herramientas se encuentra seleccionada la opción RadiometricIndices, utilizada para el cálculo de índices espectrales a partir de imágenes de teledetección.</w:t>
      </w:r>
    </w:p>
  </w:comment>
  <w:comment w:id="24" w:author="Paula Marcela Vidal Quintero" w:date="2026-09-23T21:28:00Z" w:initials="">
    <w:p w14:paraId="0000026B" w14:textId="77777777" w:rsidR="009C64D3" w:rsidRDefault="00DC122F">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Texto alternativo: captura de pantalla del Semi-Automatic Classification Plugin (SCP) en QGIS. Se presenta la Calculadora de Bandas con diferentes bandas espectrales cargadas y una expresión para el cálculo del índice EVI.</w:t>
      </w:r>
    </w:p>
  </w:comment>
  <w:comment w:id="25" w:author="Paula Marcela Vidal Quintero" w:date="2026-09-24T04:01:00Z" w:initials="">
    <w:p w14:paraId="00000268" w14:textId="77777777" w:rsidR="009C64D3" w:rsidRDefault="00DC122F">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Texto alternativo: La síntesis presenta el componente “Aplicación de técnicas geoespaciales en la agroforestería”, el cual se estructura en tres temas principales. El primero corresponde a los fundamentos de las tecnologías geoespaciales en el ámbito agroforestal y comprende los sistemas agroforestales, el análisis geoespacial, la información georreferenciada, los SIG, la teledetección, el GNSS/GPS, la cartografía digital y sus aplicaciones en gestión ambiental, riesgos y agricultura de precisión. El segundo tema aborda la captura y procesamiento de información geoespacial e integra la captura mediante satélites, VANT o drones y sensores, el procesamiento y análisis de información, los índices de vegetación, el relieve, la biomasa, el carbono, el microclima, las aplicaciones en diseño, manejo y seguimiento agroforestal, y las tecnologías emergentes para el análisis y monitoreo. El tercer tema desarrolla los índices de vegetación y el monitoreo del dosel agroforestal, incluyendo el monitoreo de luz, sombra, área foliar y estrés vegetal, el uso del NDVI para analizar cobertura y vigor, los índices complementarios EVI, SAVI, ARVI, GCI, SIPI y NBR, y las herramientas geoespaciales para su cálculo.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26A" w15:done="0"/>
  <w15:commentEx w15:paraId="00000267" w15:done="0"/>
  <w15:commentEx w15:paraId="00000263" w15:done="0"/>
  <w15:commentEx w15:paraId="00000269" w15:done="0"/>
  <w15:commentEx w15:paraId="00000266" w15:done="0"/>
  <w15:commentEx w15:paraId="00000265" w15:done="0"/>
  <w15:commentEx w15:paraId="00000262" w15:done="0"/>
  <w15:commentEx w15:paraId="00000264" w15:done="0"/>
  <w15:commentEx w15:paraId="0000026B" w15:done="0"/>
  <w15:commentEx w15:paraId="0000026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26A" w16cid:durableId="0000026A"/>
  <w16cid:commentId w16cid:paraId="00000267" w16cid:durableId="00000267"/>
  <w16cid:commentId w16cid:paraId="00000263" w16cid:durableId="00000263"/>
  <w16cid:commentId w16cid:paraId="00000269" w16cid:durableId="00000269"/>
  <w16cid:commentId w16cid:paraId="00000266" w16cid:durableId="00000266"/>
  <w16cid:commentId w16cid:paraId="00000265" w16cid:durableId="00000265"/>
  <w16cid:commentId w16cid:paraId="00000262" w16cid:durableId="00000262"/>
  <w16cid:commentId w16cid:paraId="00000264" w16cid:durableId="00000264"/>
  <w16cid:commentId w16cid:paraId="0000026B" w16cid:durableId="0000026B"/>
  <w16cid:commentId w16cid:paraId="00000268" w16cid:durableId="000002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1DDF10" w14:textId="77777777" w:rsidR="00FE3D19" w:rsidRDefault="00FE3D19">
      <w:pPr>
        <w:spacing w:line="240" w:lineRule="auto"/>
      </w:pPr>
      <w:r>
        <w:separator/>
      </w:r>
    </w:p>
  </w:endnote>
  <w:endnote w:type="continuationSeparator" w:id="0">
    <w:p w14:paraId="0E6931A4" w14:textId="77777777" w:rsidR="00FE3D19" w:rsidRDefault="00FE3D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BE3D914-9F1F-EA42-AF57-DF741C0589CE}"/>
    <w:embedBold r:id="rId2" w:fontKey="{9C55AC90-260C-7F4C-B34A-2486BA82D069}"/>
  </w:font>
  <w:font w:name="Arial">
    <w:panose1 w:val="020B0604020202020204"/>
    <w:charset w:val="00"/>
    <w:family w:val="swiss"/>
    <w:pitch w:val="variable"/>
    <w:sig w:usb0="E0002AFF" w:usb1="C0007843" w:usb2="00000009" w:usb3="00000000" w:csb0="000001FF" w:csb1="00000000"/>
    <w:embedRegular r:id="rId3" w:fontKey="{6C89FF96-396E-A64D-B6D6-BBF45A664B3A}"/>
    <w:embedBold r:id="rId4" w:fontKey="{98DE468F-A35D-5B47-9677-FE936E027CDC}"/>
    <w:embedItalic r:id="rId5" w:fontKey="{553F829C-8A0F-FA41-A4CF-0D743C9504A2}"/>
    <w:embedBoldItalic r:id="rId6" w:fontKey="{1584A337-A471-AF46-9BBD-7599422A0161}"/>
  </w:font>
  <w:font w:name="Arial Unicode MS">
    <w:panose1 w:val="020B0604020202020204"/>
    <w:charset w:val="80"/>
    <w:family w:val="swiss"/>
    <w:pitch w:val="variable"/>
    <w:sig w:usb0="F7FFAFFF" w:usb1="E9DFFFFF" w:usb2="0000003F" w:usb3="00000000" w:csb0="003F01FF" w:csb1="00000000"/>
    <w:embedRegular r:id="rId7" w:subsetted="1" w:fontKey="{9C39F9B6-9F2A-6D41-A5BD-F43F73DF3202}"/>
  </w:font>
  <w:font w:name="Calibri">
    <w:panose1 w:val="020F0502020204030204"/>
    <w:charset w:val="00"/>
    <w:family w:val="swiss"/>
    <w:pitch w:val="variable"/>
    <w:sig w:usb0="E0002AFF" w:usb1="C000247B" w:usb2="00000009" w:usb3="00000000" w:csb0="000001FF" w:csb1="00000000"/>
    <w:embedRegular r:id="rId8" w:fontKey="{3A20ABA2-20D9-FD43-8E56-366945B2D5D0}"/>
    <w:embedBold r:id="rId9" w:fontKey="{B81AFA18-60DC-DD4D-9924-E4B286904FE2}"/>
  </w:font>
  <w:font w:name="Cambria">
    <w:panose1 w:val="02040503050406030204"/>
    <w:charset w:val="00"/>
    <w:family w:val="roman"/>
    <w:pitch w:val="variable"/>
    <w:sig w:usb0="E00006FF" w:usb1="420024FF" w:usb2="02000000" w:usb3="00000000" w:csb0="0000019F" w:csb1="00000000"/>
    <w:embedRegular r:id="rId10" w:fontKey="{9CC1924F-B316-3146-9346-EC4A57AFC6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25D" w14:textId="77777777" w:rsidR="009C64D3" w:rsidRDefault="009C64D3">
    <w:pPr>
      <w:pBdr>
        <w:top w:val="nil"/>
        <w:left w:val="nil"/>
        <w:bottom w:val="nil"/>
        <w:right w:val="nil"/>
        <w:between w:val="nil"/>
      </w:pBdr>
      <w:tabs>
        <w:tab w:val="center" w:pos="4419"/>
        <w:tab w:val="right" w:pos="8838"/>
        <w:tab w:val="left" w:pos="10255"/>
      </w:tabs>
      <w:spacing w:line="240" w:lineRule="auto"/>
      <w:jc w:val="right"/>
      <w:rPr>
        <w:i/>
        <w:iCs/>
        <w:color w:val="000000"/>
        <w:sz w:val="20"/>
        <w:szCs w:val="20"/>
      </w:rPr>
    </w:pPr>
  </w:p>
  <w:p w14:paraId="0000025E" w14:textId="77777777" w:rsidR="009C64D3" w:rsidRDefault="009C64D3">
    <w:pPr>
      <w:spacing w:line="240" w:lineRule="auto"/>
      <w:ind w:left="-2" w:hanging="2"/>
      <w:jc w:val="right"/>
      <w:rPr>
        <w:rFonts w:ascii="Times New Roman" w:eastAsia="Times New Roman" w:hAnsi="Times New Roman" w:cs="Times New Roman"/>
        <w:sz w:val="24"/>
        <w:szCs w:val="24"/>
      </w:rPr>
    </w:pPr>
  </w:p>
  <w:p w14:paraId="0000025F" w14:textId="77777777" w:rsidR="009C64D3" w:rsidRDefault="009C64D3">
    <w:pPr>
      <w:spacing w:line="240" w:lineRule="auto"/>
      <w:rPr>
        <w:rFonts w:ascii="Times New Roman" w:eastAsia="Times New Roman" w:hAnsi="Times New Roman" w:cs="Times New Roman"/>
        <w:sz w:val="24"/>
        <w:szCs w:val="24"/>
      </w:rPr>
    </w:pPr>
  </w:p>
  <w:p w14:paraId="00000260" w14:textId="77777777" w:rsidR="009C64D3" w:rsidRDefault="009C64D3">
    <w:pPr>
      <w:pBdr>
        <w:top w:val="nil"/>
        <w:left w:val="nil"/>
        <w:bottom w:val="nil"/>
        <w:right w:val="nil"/>
        <w:between w:val="nil"/>
      </w:pBdr>
      <w:tabs>
        <w:tab w:val="center" w:pos="4419"/>
        <w:tab w:val="right" w:pos="8838"/>
        <w:tab w:val="left" w:pos="10255"/>
      </w:tabs>
      <w:spacing w:line="240" w:lineRule="auto"/>
      <w:jc w:val="right"/>
      <w:rPr>
        <w:i/>
        <w:iCs/>
        <w:color w:val="000000"/>
        <w:sz w:val="16"/>
        <w:szCs w:val="16"/>
      </w:rPr>
    </w:pPr>
  </w:p>
  <w:p w14:paraId="00000261" w14:textId="77777777" w:rsidR="009C64D3" w:rsidRDefault="009C64D3">
    <w:pPr>
      <w:pBdr>
        <w:top w:val="nil"/>
        <w:left w:val="nil"/>
        <w:bottom w:val="nil"/>
        <w:right w:val="nil"/>
        <w:between w:val="nil"/>
      </w:pBdr>
      <w:tabs>
        <w:tab w:val="center" w:pos="4419"/>
        <w:tab w:val="right" w:pos="8838"/>
        <w:tab w:val="left" w:pos="10255"/>
      </w:tabs>
      <w:spacing w:line="240" w:lineRule="auto"/>
      <w:jc w:val="right"/>
      <w:rPr>
        <w:i/>
        <w:iCs/>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BC3044" w14:textId="77777777" w:rsidR="00FE3D19" w:rsidRDefault="00FE3D19">
      <w:pPr>
        <w:spacing w:line="240" w:lineRule="auto"/>
      </w:pPr>
      <w:r>
        <w:separator/>
      </w:r>
    </w:p>
  </w:footnote>
  <w:footnote w:type="continuationSeparator" w:id="0">
    <w:p w14:paraId="4B770581" w14:textId="77777777" w:rsidR="00FE3D19" w:rsidRDefault="00FE3D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25B" w14:textId="77777777" w:rsidR="009C64D3" w:rsidRDefault="00000000">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038E7964" wp14:editId="0BD3B584">
          <wp:simplePos x="0" y="0"/>
          <wp:positionH relativeFrom="column">
            <wp:posOffset>2733473</wp:posOffset>
          </wp:positionH>
          <wp:positionV relativeFrom="paragraph">
            <wp:posOffset>-116996</wp:posOffset>
          </wp:positionV>
          <wp:extent cx="592455" cy="561340"/>
          <wp:effectExtent l="0" t="0" r="0" b="0"/>
          <wp:wrapSquare wrapText="bothSides" distT="0" distB="0" distL="114300" distR="114300"/>
          <wp:docPr id="1388758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592455" cy="561340"/>
                  </a:xfrm>
                  <a:prstGeom prst="rect">
                    <a:avLst/>
                  </a:prstGeom>
                  <a:ln/>
                </pic:spPr>
              </pic:pic>
            </a:graphicData>
          </a:graphic>
        </wp:anchor>
      </w:drawing>
    </w:r>
  </w:p>
  <w:p w14:paraId="0000025C" w14:textId="77777777" w:rsidR="009C64D3" w:rsidRDefault="009C64D3">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3C3549"/>
    <w:multiLevelType w:val="multilevel"/>
    <w:tmpl w:val="023E5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873190"/>
    <w:multiLevelType w:val="multilevel"/>
    <w:tmpl w:val="5BD0B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7C51E9"/>
    <w:multiLevelType w:val="multilevel"/>
    <w:tmpl w:val="57B8B00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3172591">
    <w:abstractNumId w:val="0"/>
  </w:num>
  <w:num w:numId="2" w16cid:durableId="2053730072">
    <w:abstractNumId w:val="2"/>
  </w:num>
  <w:num w:numId="3" w16cid:durableId="6047764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4D3"/>
    <w:rsid w:val="003F42B6"/>
    <w:rsid w:val="009C64D3"/>
    <w:rsid w:val="00DC122F"/>
    <w:rsid w:val="00FE3D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AFE0956"/>
  <w15:docId w15:val="{5B4558E6-33E2-0D4F-8809-AAD2718F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0">
    <w:name w:val="Table Normal2"/>
    <w:tblPr>
      <w:tblCellMar>
        <w:top w:w="0" w:type="dxa"/>
        <w:left w:w="0" w:type="dxa"/>
        <w:bottom w:w="0" w:type="dxa"/>
        <w:right w:w="0" w:type="dxa"/>
      </w:tblCellMar>
    </w:tbl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0"/>
    <w:tblPr>
      <w:tblStyleRowBandSize w:val="1"/>
      <w:tblStyleColBandSize w:val="1"/>
      <w:tblCellMar>
        <w:left w:w="70" w:type="dxa"/>
        <w:right w:w="70" w:type="dxa"/>
      </w:tblCellMar>
    </w:tblPr>
  </w:style>
  <w:style w:type="table" w:customStyle="1" w:styleId="a7">
    <w:basedOn w:val="TableNormal20"/>
    <w:tblPr>
      <w:tblStyleRowBandSize w:val="1"/>
      <w:tblStyleColBandSize w:val="1"/>
      <w:tblCellMar>
        <w:top w:w="15" w:type="dxa"/>
        <w:left w:w="15" w:type="dxa"/>
        <w:bottom w:w="15" w:type="dxa"/>
        <w:right w:w="15" w:type="dxa"/>
      </w:tblCellMar>
    </w:tblPr>
  </w:style>
  <w:style w:type="table" w:customStyle="1" w:styleId="a8">
    <w:basedOn w:val="TableNormal20"/>
    <w:tblPr>
      <w:tblStyleRowBandSize w:val="1"/>
      <w:tblStyleColBandSize w:val="1"/>
      <w:tblCellMar>
        <w:top w:w="15" w:type="dxa"/>
        <w:left w:w="15" w:type="dxa"/>
        <w:bottom w:w="15" w:type="dxa"/>
        <w:right w:w="15" w:type="dxa"/>
      </w:tblCellMar>
    </w:tblPr>
  </w:style>
  <w:style w:type="table" w:customStyle="1" w:styleId="a9">
    <w:basedOn w:val="TableNormal20"/>
    <w:tblPr>
      <w:tblStyleRowBandSize w:val="1"/>
      <w:tblStyleColBandSize w:val="1"/>
      <w:tblCellMar>
        <w:left w:w="115" w:type="dxa"/>
        <w:right w:w="115" w:type="dxa"/>
      </w:tblCellMar>
    </w:tblPr>
  </w:style>
  <w:style w:type="table" w:customStyle="1" w:styleId="aa">
    <w:basedOn w:val="TableNormal20"/>
    <w:tblPr>
      <w:tblStyleRowBandSize w:val="1"/>
      <w:tblStyleColBandSize w:val="1"/>
      <w:tblCellMar>
        <w:left w:w="115" w:type="dxa"/>
        <w:right w:w="115" w:type="dxa"/>
      </w:tblCellMar>
    </w:tblPr>
  </w:style>
  <w:style w:type="table" w:customStyle="1" w:styleId="ab">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table" w:customStyle="1" w:styleId="af4">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5">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6">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7">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8">
    <w:basedOn w:val="TableNormal3"/>
    <w:tblPr>
      <w:tblStyleRowBandSize w:val="1"/>
      <w:tblStyleColBandSize w:val="1"/>
      <w:tblCellMar>
        <w:top w:w="0" w:type="dxa"/>
        <w:left w:w="115" w:type="dxa"/>
        <w:bottom w:w="0" w:type="dxa"/>
        <w:right w:w="115" w:type="dxa"/>
      </w:tblCellMar>
    </w:tblPr>
  </w:style>
  <w:style w:type="table" w:customStyle="1" w:styleId="af9">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a">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b">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c">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d">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e">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0">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3"/>
    <w:tblPr>
      <w:tblStyleRowBandSize w:val="1"/>
      <w:tblStyleColBandSize w:val="1"/>
      <w:tblCellMar>
        <w:top w:w="0" w:type="dxa"/>
        <w:left w:w="0" w:type="dxa"/>
        <w:bottom w:w="0" w:type="dxa"/>
        <w:right w:w="0" w:type="dxa"/>
      </w:tblCellMar>
    </w:tblPr>
  </w:style>
  <w:style w:type="table" w:customStyle="1" w:styleId="aff2">
    <w:basedOn w:val="TableNormal3"/>
    <w:tblPr>
      <w:tblStyleRowBandSize w:val="1"/>
      <w:tblStyleColBandSize w:val="1"/>
      <w:tblCellMar>
        <w:top w:w="0" w:type="dxa"/>
        <w:left w:w="0" w:type="dxa"/>
        <w:bottom w:w="0" w:type="dxa"/>
        <w:right w:w="0" w:type="dxa"/>
      </w:tblCellMar>
    </w:tblPr>
  </w:style>
  <w:style w:type="table" w:customStyle="1" w:styleId="aff3">
    <w:basedOn w:val="TableNormal3"/>
    <w:tblPr>
      <w:tblStyleRowBandSize w:val="1"/>
      <w:tblStyleColBandSize w:val="1"/>
      <w:tblCellMar>
        <w:top w:w="0" w:type="dxa"/>
        <w:left w:w="0" w:type="dxa"/>
        <w:bottom w:w="0" w:type="dxa"/>
        <w:right w:w="0" w:type="dxa"/>
      </w:tblCellMar>
    </w:tblPr>
  </w:style>
  <w:style w:type="table" w:customStyle="1" w:styleId="aff4">
    <w:basedOn w:val="TableNormal3"/>
    <w:tblPr>
      <w:tblStyleRowBandSize w:val="1"/>
      <w:tblStyleColBandSize w:val="1"/>
      <w:tblCellMar>
        <w:top w:w="0" w:type="dxa"/>
        <w:left w:w="0" w:type="dxa"/>
        <w:bottom w:w="0" w:type="dxa"/>
        <w:right w:w="0" w:type="dxa"/>
      </w:tblCellMar>
    </w:tblPr>
  </w:style>
  <w:style w:type="table" w:customStyle="1" w:styleId="aff5">
    <w:basedOn w:val="TableNormal3"/>
    <w:tblPr>
      <w:tblStyleRowBandSize w:val="1"/>
      <w:tblStyleColBandSize w:val="1"/>
    </w:tblPr>
  </w:style>
  <w:style w:type="table" w:customStyle="1" w:styleId="aff6">
    <w:basedOn w:val="TableNormal3"/>
    <w:tblPr>
      <w:tblStyleRowBandSize w:val="1"/>
      <w:tblStyleColBandSize w:val="1"/>
      <w:tblCellMar>
        <w:top w:w="0" w:type="dxa"/>
        <w:left w:w="115" w:type="dxa"/>
        <w:bottom w:w="0" w:type="dxa"/>
        <w:right w:w="115" w:type="dxa"/>
      </w:tblCellMar>
    </w:tblPr>
  </w:style>
  <w:style w:type="table" w:customStyle="1" w:styleId="aff7">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8">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9">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a">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b">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c">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d">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e">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fff">
    <w:basedOn w:val="TableNormal3"/>
    <w:tblPr>
      <w:tblStyleRowBandSize w:val="1"/>
      <w:tblStyleColBandSize w:val="1"/>
      <w:tblCellMar>
        <w:top w:w="0" w:type="dxa"/>
        <w:left w:w="0" w:type="dxa"/>
        <w:bottom w:w="0" w:type="dxa"/>
        <w:right w:w="0" w:type="dxa"/>
      </w:tblCellMar>
    </w:tblPr>
  </w:style>
  <w:style w:type="table" w:customStyle="1" w:styleId="afff0">
    <w:basedOn w:val="TableNormal3"/>
    <w:tblPr>
      <w:tblStyleRowBandSize w:val="1"/>
      <w:tblStyleColBandSize w:val="1"/>
      <w:tblCellMar>
        <w:top w:w="0" w:type="dxa"/>
        <w:left w:w="0" w:type="dxa"/>
        <w:bottom w:w="0" w:type="dxa"/>
        <w:right w:w="0" w:type="dxa"/>
      </w:tblCellMar>
    </w:tblPr>
  </w:style>
  <w:style w:type="table" w:customStyle="1" w:styleId="afff1">
    <w:basedOn w:val="TableNormal3"/>
    <w:tblPr>
      <w:tblStyleRowBandSize w:val="1"/>
      <w:tblStyleColBandSize w:val="1"/>
      <w:tblCellMar>
        <w:top w:w="0" w:type="dxa"/>
        <w:left w:w="0" w:type="dxa"/>
        <w:bottom w:w="0" w:type="dxa"/>
        <w:right w:w="0" w:type="dxa"/>
      </w:tblCellMar>
    </w:tblPr>
  </w:style>
  <w:style w:type="table" w:customStyle="1" w:styleId="afff2">
    <w:basedOn w:val="TableNormal3"/>
    <w:tblPr>
      <w:tblStyleRowBandSize w:val="1"/>
      <w:tblStyleColBandSize w:val="1"/>
      <w:tblCellMar>
        <w:top w:w="0" w:type="dxa"/>
        <w:left w:w="0" w:type="dxa"/>
        <w:bottom w:w="0" w:type="dxa"/>
        <w:right w:w="0" w:type="dxa"/>
      </w:tblCellMar>
    </w:tblPr>
  </w:style>
  <w:style w:type="table" w:customStyle="1" w:styleId="afff3">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3"/>
    <w:tblPr>
      <w:tblStyleRowBandSize w:val="1"/>
      <w:tblStyleColBandSize w:val="1"/>
    </w:tblPr>
  </w:style>
  <w:style w:type="table" w:customStyle="1" w:styleId="afff5">
    <w:basedOn w:val="TableNormal3"/>
    <w:tblPr>
      <w:tblStyleRowBandSize w:val="1"/>
      <w:tblStyleColBandSize w:val="1"/>
      <w:tblCellMar>
        <w:top w:w="0" w:type="dxa"/>
        <w:left w:w="0" w:type="dxa"/>
        <w:bottom w:w="0" w:type="dxa"/>
        <w:right w:w="0" w:type="dxa"/>
      </w:tblCellMar>
    </w:tblPr>
  </w:style>
  <w:style w:type="table" w:customStyle="1" w:styleId="afff6">
    <w:basedOn w:val="TableNormal3"/>
    <w:tblPr>
      <w:tblStyleRowBandSize w:val="1"/>
      <w:tblStyleColBandSize w:val="1"/>
      <w:tblCellMar>
        <w:top w:w="0" w:type="dxa"/>
        <w:left w:w="0" w:type="dxa"/>
        <w:bottom w:w="0" w:type="dxa"/>
        <w:right w:w="0" w:type="dxa"/>
      </w:tblCellMar>
    </w:tblPr>
  </w:style>
  <w:style w:type="table" w:customStyle="1" w:styleId="afff7">
    <w:basedOn w:val="TableNormal3"/>
    <w:tblPr>
      <w:tblStyleRowBandSize w:val="1"/>
      <w:tblStyleColBandSize w:val="1"/>
      <w:tblCellMar>
        <w:top w:w="0" w:type="dxa"/>
        <w:left w:w="0" w:type="dxa"/>
        <w:bottom w:w="0" w:type="dxa"/>
        <w:right w:w="0" w:type="dxa"/>
      </w:tblCellMar>
    </w:tblPr>
  </w:style>
  <w:style w:type="table" w:customStyle="1" w:styleId="afff8">
    <w:basedOn w:val="TableNormal3"/>
    <w:tblPr>
      <w:tblStyleRowBandSize w:val="1"/>
      <w:tblStyleColBandSize w:val="1"/>
      <w:tblCellMar>
        <w:top w:w="0" w:type="dxa"/>
        <w:left w:w="0" w:type="dxa"/>
        <w:bottom w:w="0" w:type="dxa"/>
        <w:right w:w="0" w:type="dxa"/>
      </w:tblCellMar>
    </w:tblPr>
  </w:style>
  <w:style w:type="table" w:customStyle="1" w:styleId="afff9">
    <w:basedOn w:val="TableNormal3"/>
    <w:tblPr>
      <w:tblStyleRowBandSize w:val="1"/>
      <w:tblStyleColBandSize w:val="1"/>
      <w:tblCellMar>
        <w:top w:w="0" w:type="dxa"/>
        <w:left w:w="0" w:type="dxa"/>
        <w:bottom w:w="0" w:type="dxa"/>
        <w:right w:w="0" w:type="dxa"/>
      </w:tblCellMar>
    </w:tblPr>
  </w:style>
  <w:style w:type="table" w:customStyle="1" w:styleId="afffa">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3"/>
    <w:tblPr>
      <w:tblStyleRowBandSize w:val="1"/>
      <w:tblStyleColBandSize w:val="1"/>
      <w:tblCellMar>
        <w:top w:w="0" w:type="dxa"/>
        <w:left w:w="0" w:type="dxa"/>
        <w:bottom w:w="0" w:type="dxa"/>
        <w:right w:w="0" w:type="dxa"/>
      </w:tblCellMar>
    </w:tblPr>
  </w:style>
  <w:style w:type="table" w:customStyle="1" w:styleId="afffc">
    <w:basedOn w:val="TableNormal3"/>
    <w:tblPr>
      <w:tblStyleRowBandSize w:val="1"/>
      <w:tblStyleColBandSize w:val="1"/>
      <w:tblCellMar>
        <w:top w:w="0" w:type="dxa"/>
        <w:left w:w="0" w:type="dxa"/>
        <w:bottom w:w="0" w:type="dxa"/>
        <w:right w:w="0" w:type="dxa"/>
      </w:tblCellMar>
    </w:tblPr>
  </w:style>
  <w:style w:type="table" w:customStyle="1" w:styleId="afffd">
    <w:basedOn w:val="TableNormal3"/>
    <w:tblPr>
      <w:tblStyleRowBandSize w:val="1"/>
      <w:tblStyleColBandSize w:val="1"/>
    </w:tblPr>
  </w:style>
  <w:style w:type="table" w:customStyle="1" w:styleId="afffe">
    <w:basedOn w:val="TableNormal3"/>
    <w:tblPr>
      <w:tblStyleRowBandSize w:val="1"/>
      <w:tblStyleColBandSize w:val="1"/>
    </w:tblPr>
  </w:style>
  <w:style w:type="table" w:customStyle="1" w:styleId="affff">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3"/>
    <w:tblPr>
      <w:tblStyleRowBandSize w:val="1"/>
      <w:tblStyleColBandSize w:val="1"/>
      <w:tblCellMar>
        <w:top w:w="0" w:type="dxa"/>
        <w:left w:w="0" w:type="dxa"/>
        <w:bottom w:w="0" w:type="dxa"/>
        <w:right w:w="0" w:type="dxa"/>
      </w:tblCellMar>
    </w:tblPr>
  </w:style>
  <w:style w:type="table" w:customStyle="1" w:styleId="affff1">
    <w:basedOn w:val="TableNormal3"/>
    <w:tblPr>
      <w:tblStyleRowBandSize w:val="1"/>
      <w:tblStyleColBandSize w:val="1"/>
      <w:tblCellMar>
        <w:top w:w="0" w:type="dxa"/>
        <w:left w:w="0" w:type="dxa"/>
        <w:bottom w:w="0" w:type="dxa"/>
        <w:right w:w="0" w:type="dxa"/>
      </w:tblCellMar>
    </w:tblPr>
  </w:style>
  <w:style w:type="table" w:customStyle="1" w:styleId="affff2">
    <w:basedOn w:val="TableNormal3"/>
    <w:tblPr>
      <w:tblStyleRowBandSize w:val="1"/>
      <w:tblStyleColBandSize w:val="1"/>
      <w:tblCellMar>
        <w:top w:w="0" w:type="dxa"/>
        <w:left w:w="115" w:type="dxa"/>
        <w:bottom w:w="0" w:type="dxa"/>
        <w:right w:w="115" w:type="dxa"/>
      </w:tblCellMar>
    </w:tblPr>
  </w:style>
  <w:style w:type="table" w:customStyle="1" w:styleId="affff3">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4">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5">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6">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7">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8">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9">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a">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3"/>
    <w:tblPr>
      <w:tblStyleRowBandSize w:val="1"/>
      <w:tblStyleColBandSize w:val="1"/>
      <w:tblCellMar>
        <w:top w:w="0" w:type="dxa"/>
        <w:left w:w="0" w:type="dxa"/>
        <w:bottom w:w="0" w:type="dxa"/>
        <w:right w:w="0" w:type="dxa"/>
      </w:tblCellMar>
    </w:tblPr>
  </w:style>
  <w:style w:type="table" w:customStyle="1" w:styleId="affffc">
    <w:basedOn w:val="TableNormal3"/>
    <w:tblPr>
      <w:tblStyleRowBandSize w:val="1"/>
      <w:tblStyleColBandSize w:val="1"/>
      <w:tblCellMar>
        <w:top w:w="0" w:type="dxa"/>
        <w:left w:w="0" w:type="dxa"/>
        <w:bottom w:w="0" w:type="dxa"/>
        <w:right w:w="0" w:type="dxa"/>
      </w:tblCellMar>
    </w:tblPr>
  </w:style>
  <w:style w:type="table" w:customStyle="1" w:styleId="affffd">
    <w:basedOn w:val="TableNormal3"/>
    <w:tblPr>
      <w:tblStyleRowBandSize w:val="1"/>
      <w:tblStyleColBandSize w:val="1"/>
      <w:tblCellMar>
        <w:top w:w="0" w:type="dxa"/>
        <w:left w:w="0" w:type="dxa"/>
        <w:bottom w:w="0" w:type="dxa"/>
        <w:right w:w="0" w:type="dxa"/>
      </w:tblCellMar>
    </w:tblPr>
  </w:style>
  <w:style w:type="table" w:customStyle="1" w:styleId="affffe">
    <w:basedOn w:val="TableNormal3"/>
    <w:tblPr>
      <w:tblStyleRowBandSize w:val="1"/>
      <w:tblStyleColBandSize w:val="1"/>
      <w:tblCellMar>
        <w:top w:w="0" w:type="dxa"/>
        <w:left w:w="0" w:type="dxa"/>
        <w:bottom w:w="0" w:type="dxa"/>
        <w:right w:w="0" w:type="dxa"/>
      </w:tblCellMar>
    </w:tblPr>
  </w:style>
  <w:style w:type="table" w:customStyle="1" w:styleId="afffff">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3"/>
    <w:tblPr>
      <w:tblStyleRowBandSize w:val="1"/>
      <w:tblStyleColBandSize w:val="1"/>
    </w:tblPr>
  </w:style>
  <w:style w:type="table" w:customStyle="1" w:styleId="afffff1">
    <w:basedOn w:val="TableNormal3"/>
    <w:tblPr>
      <w:tblStyleRowBandSize w:val="1"/>
      <w:tblStyleColBandSize w:val="1"/>
      <w:tblCellMar>
        <w:top w:w="0" w:type="dxa"/>
        <w:left w:w="0" w:type="dxa"/>
        <w:bottom w:w="0" w:type="dxa"/>
        <w:right w:w="0" w:type="dxa"/>
      </w:tblCellMar>
    </w:tblPr>
  </w:style>
  <w:style w:type="table" w:customStyle="1" w:styleId="afffff2">
    <w:basedOn w:val="TableNormal3"/>
    <w:tblPr>
      <w:tblStyleRowBandSize w:val="1"/>
      <w:tblStyleColBandSize w:val="1"/>
      <w:tblCellMar>
        <w:top w:w="0" w:type="dxa"/>
        <w:left w:w="0" w:type="dxa"/>
        <w:bottom w:w="0" w:type="dxa"/>
        <w:right w:w="0" w:type="dxa"/>
      </w:tblCellMar>
    </w:tblPr>
  </w:style>
  <w:style w:type="table" w:customStyle="1" w:styleId="afffff3">
    <w:basedOn w:val="TableNormal3"/>
    <w:tblPr>
      <w:tblStyleRowBandSize w:val="1"/>
      <w:tblStyleColBandSize w:val="1"/>
      <w:tblCellMar>
        <w:top w:w="0" w:type="dxa"/>
        <w:left w:w="0" w:type="dxa"/>
        <w:bottom w:w="0" w:type="dxa"/>
        <w:right w:w="0" w:type="dxa"/>
      </w:tblCellMar>
    </w:tblPr>
  </w:style>
  <w:style w:type="table" w:customStyle="1" w:styleId="afffff4">
    <w:basedOn w:val="TableNormal3"/>
    <w:tblPr>
      <w:tblStyleRowBandSize w:val="1"/>
      <w:tblStyleColBandSize w:val="1"/>
      <w:tblCellMar>
        <w:top w:w="0" w:type="dxa"/>
        <w:left w:w="0" w:type="dxa"/>
        <w:bottom w:w="0" w:type="dxa"/>
        <w:right w:w="0" w:type="dxa"/>
      </w:tblCellMar>
    </w:tblPr>
  </w:style>
  <w:style w:type="table" w:customStyle="1" w:styleId="afffff5">
    <w:basedOn w:val="TableNormal3"/>
    <w:tblPr>
      <w:tblStyleRowBandSize w:val="1"/>
      <w:tblStyleColBandSize w:val="1"/>
      <w:tblCellMar>
        <w:top w:w="0" w:type="dxa"/>
        <w:left w:w="0" w:type="dxa"/>
        <w:bottom w:w="0" w:type="dxa"/>
        <w:right w:w="0" w:type="dxa"/>
      </w:tblCellMar>
    </w:tblPr>
  </w:style>
  <w:style w:type="table" w:customStyle="1" w:styleId="afffff6">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3"/>
    <w:tblPr>
      <w:tblStyleRowBandSize w:val="1"/>
      <w:tblStyleColBandSize w:val="1"/>
      <w:tblCellMar>
        <w:top w:w="0" w:type="dxa"/>
        <w:left w:w="0" w:type="dxa"/>
        <w:bottom w:w="0" w:type="dxa"/>
        <w:right w:w="0" w:type="dxa"/>
      </w:tblCellMar>
    </w:tblPr>
  </w:style>
  <w:style w:type="table" w:customStyle="1" w:styleId="afffff8">
    <w:basedOn w:val="TableNormal3"/>
    <w:tblPr>
      <w:tblStyleRowBandSize w:val="1"/>
      <w:tblStyleColBandSize w:val="1"/>
      <w:tblCellMar>
        <w:top w:w="0" w:type="dxa"/>
        <w:left w:w="0" w:type="dxa"/>
        <w:bottom w:w="0" w:type="dxa"/>
        <w:right w:w="0" w:type="dxa"/>
      </w:tblCellMar>
    </w:tblPr>
  </w:style>
  <w:style w:type="table" w:customStyle="1" w:styleId="afffff9">
    <w:basedOn w:val="TableNormal3"/>
    <w:tblPr>
      <w:tblStyleRowBandSize w:val="1"/>
      <w:tblStyleColBandSize w:val="1"/>
    </w:tblPr>
  </w:style>
  <w:style w:type="table" w:customStyle="1" w:styleId="afffffa">
    <w:basedOn w:val="TableNormal3"/>
    <w:tblPr>
      <w:tblStyleRowBandSize w:val="1"/>
      <w:tblStyleColBandSize w:val="1"/>
    </w:tblPr>
  </w:style>
  <w:style w:type="table" w:customStyle="1" w:styleId="afffffb">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3"/>
    <w:tblPr>
      <w:tblStyleRowBandSize w:val="1"/>
      <w:tblStyleColBandSize w:val="1"/>
      <w:tblCellMar>
        <w:top w:w="0" w:type="dxa"/>
        <w:left w:w="0" w:type="dxa"/>
        <w:bottom w:w="0" w:type="dxa"/>
        <w:right w:w="0" w:type="dxa"/>
      </w:tblCellMar>
    </w:tblPr>
  </w:style>
  <w:style w:type="table" w:customStyle="1" w:styleId="afffffd">
    <w:basedOn w:val="TableNormal3"/>
    <w:tblPr>
      <w:tblStyleRowBandSize w:val="1"/>
      <w:tblStyleColBandSize w:val="1"/>
      <w:tblCellMar>
        <w:top w:w="0" w:type="dxa"/>
        <w:left w:w="0" w:type="dxa"/>
        <w:bottom w:w="0" w:type="dxa"/>
        <w:right w:w="0" w:type="dxa"/>
      </w:tblCellMar>
    </w:tblPr>
  </w:style>
  <w:style w:type="table" w:customStyle="1" w:styleId="afffffe">
    <w:basedOn w:val="TableNormal3"/>
    <w:tblPr>
      <w:tblStyleRowBandSize w:val="1"/>
      <w:tblStyleColBandSize w:val="1"/>
      <w:tblCellMar>
        <w:top w:w="0" w:type="dxa"/>
        <w:left w:w="115" w:type="dxa"/>
        <w:bottom w:w="0" w:type="dxa"/>
        <w:right w:w="115" w:type="dxa"/>
      </w:tblCellMar>
    </w:tblPr>
  </w:style>
  <w:style w:type="table" w:customStyle="1" w:styleId="affffff">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0">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1">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ffffff2">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3">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4">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5">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6">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3"/>
    <w:tblPr>
      <w:tblStyleRowBandSize w:val="1"/>
      <w:tblStyleColBandSize w:val="1"/>
      <w:tblCellMar>
        <w:top w:w="0" w:type="dxa"/>
        <w:left w:w="0" w:type="dxa"/>
        <w:bottom w:w="0" w:type="dxa"/>
        <w:right w:w="0" w:type="dxa"/>
      </w:tblCellMar>
    </w:tblPr>
  </w:style>
  <w:style w:type="table" w:customStyle="1" w:styleId="affffff8">
    <w:basedOn w:val="TableNormal3"/>
    <w:tblPr>
      <w:tblStyleRowBandSize w:val="1"/>
      <w:tblStyleColBandSize w:val="1"/>
      <w:tblCellMar>
        <w:top w:w="0" w:type="dxa"/>
        <w:left w:w="0" w:type="dxa"/>
        <w:bottom w:w="0" w:type="dxa"/>
        <w:right w:w="0" w:type="dxa"/>
      </w:tblCellMar>
    </w:tblPr>
  </w:style>
  <w:style w:type="table" w:customStyle="1" w:styleId="affffff9">
    <w:basedOn w:val="TableNormal3"/>
    <w:tblPr>
      <w:tblStyleRowBandSize w:val="1"/>
      <w:tblStyleColBandSize w:val="1"/>
      <w:tblCellMar>
        <w:top w:w="0" w:type="dxa"/>
        <w:left w:w="0" w:type="dxa"/>
        <w:bottom w:w="0" w:type="dxa"/>
        <w:right w:w="0" w:type="dxa"/>
      </w:tblCellMar>
    </w:tblPr>
  </w:style>
  <w:style w:type="table" w:customStyle="1" w:styleId="affffffa">
    <w:basedOn w:val="TableNormal3"/>
    <w:tblPr>
      <w:tblStyleRowBandSize w:val="1"/>
      <w:tblStyleColBandSize w:val="1"/>
      <w:tblCellMar>
        <w:top w:w="0" w:type="dxa"/>
        <w:left w:w="0" w:type="dxa"/>
        <w:bottom w:w="0" w:type="dxa"/>
        <w:right w:w="0" w:type="dxa"/>
      </w:tblCellMar>
    </w:tblPr>
  </w:style>
  <w:style w:type="table" w:customStyle="1" w:styleId="affffffb">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3"/>
    <w:tblPr>
      <w:tblStyleRowBandSize w:val="1"/>
      <w:tblStyleColBandSize w:val="1"/>
    </w:tblPr>
  </w:style>
  <w:style w:type="table" w:customStyle="1" w:styleId="affffffd">
    <w:basedOn w:val="TableNormal3"/>
    <w:tblPr>
      <w:tblStyleRowBandSize w:val="1"/>
      <w:tblStyleColBandSize w:val="1"/>
      <w:tblCellMar>
        <w:top w:w="0" w:type="dxa"/>
        <w:left w:w="0" w:type="dxa"/>
        <w:bottom w:w="0" w:type="dxa"/>
        <w:right w:w="0" w:type="dxa"/>
      </w:tblCellMar>
    </w:tblPr>
  </w:style>
  <w:style w:type="table" w:customStyle="1" w:styleId="affffffe">
    <w:basedOn w:val="TableNormal3"/>
    <w:tblPr>
      <w:tblStyleRowBandSize w:val="1"/>
      <w:tblStyleColBandSize w:val="1"/>
      <w:tblCellMar>
        <w:top w:w="0" w:type="dxa"/>
        <w:left w:w="0" w:type="dxa"/>
        <w:bottom w:w="0" w:type="dxa"/>
        <w:right w:w="0" w:type="dxa"/>
      </w:tblCellMar>
    </w:tblPr>
  </w:style>
  <w:style w:type="table" w:customStyle="1" w:styleId="afffffff">
    <w:basedOn w:val="TableNormal3"/>
    <w:tblPr>
      <w:tblStyleRowBandSize w:val="1"/>
      <w:tblStyleColBandSize w:val="1"/>
      <w:tblCellMar>
        <w:top w:w="0" w:type="dxa"/>
        <w:left w:w="0" w:type="dxa"/>
        <w:bottom w:w="0" w:type="dxa"/>
        <w:right w:w="0" w:type="dxa"/>
      </w:tblCellMar>
    </w:tblPr>
  </w:style>
  <w:style w:type="table" w:customStyle="1" w:styleId="afffffff0">
    <w:basedOn w:val="TableNormal3"/>
    <w:tblPr>
      <w:tblStyleRowBandSize w:val="1"/>
      <w:tblStyleColBandSize w:val="1"/>
      <w:tblCellMar>
        <w:top w:w="0" w:type="dxa"/>
        <w:left w:w="0" w:type="dxa"/>
        <w:bottom w:w="0" w:type="dxa"/>
        <w:right w:w="0" w:type="dxa"/>
      </w:tblCellMar>
    </w:tblPr>
  </w:style>
  <w:style w:type="table" w:customStyle="1" w:styleId="afffffff1">
    <w:basedOn w:val="TableNormal3"/>
    <w:tblPr>
      <w:tblStyleRowBandSize w:val="1"/>
      <w:tblStyleColBandSize w:val="1"/>
      <w:tblCellMar>
        <w:top w:w="0" w:type="dxa"/>
        <w:left w:w="0" w:type="dxa"/>
        <w:bottom w:w="0" w:type="dxa"/>
        <w:right w:w="0" w:type="dxa"/>
      </w:tblCellMar>
    </w:tblPr>
  </w:style>
  <w:style w:type="table" w:customStyle="1" w:styleId="afffffff2">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3"/>
    <w:tblPr>
      <w:tblStyleRowBandSize w:val="1"/>
      <w:tblStyleColBandSize w:val="1"/>
      <w:tblCellMar>
        <w:top w:w="0" w:type="dxa"/>
        <w:left w:w="0" w:type="dxa"/>
        <w:bottom w:w="0" w:type="dxa"/>
        <w:right w:w="0" w:type="dxa"/>
      </w:tblCellMar>
    </w:tblPr>
  </w:style>
  <w:style w:type="table" w:customStyle="1" w:styleId="afffffff4">
    <w:basedOn w:val="TableNormal3"/>
    <w:tblPr>
      <w:tblStyleRowBandSize w:val="1"/>
      <w:tblStyleColBandSize w:val="1"/>
      <w:tblCellMar>
        <w:top w:w="0" w:type="dxa"/>
        <w:left w:w="0" w:type="dxa"/>
        <w:bottom w:w="0" w:type="dxa"/>
        <w:right w:w="0" w:type="dxa"/>
      </w:tblCellMar>
    </w:tblPr>
  </w:style>
  <w:style w:type="table" w:customStyle="1" w:styleId="afffffff5">
    <w:basedOn w:val="TableNormal3"/>
    <w:tblPr>
      <w:tblStyleRowBandSize w:val="1"/>
      <w:tblStyleColBandSize w:val="1"/>
    </w:tblPr>
  </w:style>
  <w:style w:type="table" w:customStyle="1" w:styleId="afffffff6">
    <w:basedOn w:val="TableNormal3"/>
    <w:tblPr>
      <w:tblStyleRowBandSize w:val="1"/>
      <w:tblStyleColBandSize w:val="1"/>
    </w:tblPr>
  </w:style>
  <w:style w:type="table" w:customStyle="1" w:styleId="afffffff7">
    <w:basedOn w:val="TableNormal3"/>
    <w:pPr>
      <w:spacing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3"/>
    <w:tblPr>
      <w:tblStyleRowBandSize w:val="1"/>
      <w:tblStyleColBandSize w:val="1"/>
      <w:tblCellMar>
        <w:top w:w="0" w:type="dxa"/>
        <w:left w:w="0" w:type="dxa"/>
        <w:bottom w:w="0" w:type="dxa"/>
        <w:right w:w="0" w:type="dxa"/>
      </w:tblCellMar>
    </w:tblPr>
  </w:style>
  <w:style w:type="table" w:customStyle="1" w:styleId="afffffff9">
    <w:basedOn w:val="TableNormal3"/>
    <w:tblPr>
      <w:tblStyleRowBandSize w:val="1"/>
      <w:tblStyleColBandSize w:val="1"/>
      <w:tblCellMar>
        <w:top w:w="0" w:type="dxa"/>
        <w:left w:w="0" w:type="dxa"/>
        <w:bottom w:w="0" w:type="dxa"/>
        <w:right w:w="0" w:type="dxa"/>
      </w:tblCellMar>
    </w:tblPr>
  </w:style>
  <w:style w:type="table" w:customStyle="1" w:styleId="afffffffa">
    <w:basedOn w:val="TableNormal3"/>
    <w:tblPr>
      <w:tblStyleRowBandSize w:val="1"/>
      <w:tblStyleColBandSize w:val="1"/>
      <w:tblCellMar>
        <w:top w:w="0" w:type="dxa"/>
        <w:left w:w="115" w:type="dxa"/>
        <w:bottom w:w="0" w:type="dxa"/>
        <w:right w:w="115" w:type="dxa"/>
      </w:tblCellMar>
    </w:tblPr>
  </w:style>
  <w:style w:type="table" w:customStyle="1" w:styleId="afffffffb">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c">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d">
    <w:basedOn w:val="TableNormal3"/>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3.png"/><Relationship Id="rId68" Type="http://schemas.openxmlformats.org/officeDocument/2006/relationships/hyperlink" Target="https://www.iberdrola.com/sostenibilidad/greenwashing"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hyperlink" Target="https://doi.org/10.1007/s11356-022-20305-y"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customXml" Target="../customXml/item4.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yperlink" Target="https://www.ipcc-nggip.iges.or.jp/public/2019rf/vol4.html" TargetMode="External"/><Relationship Id="rId77" Type="http://schemas.openxmlformats.org/officeDocument/2006/relationships/fontTable" Target="fontTable.xml"/><Relationship Id="rId8" Type="http://schemas.openxmlformats.org/officeDocument/2006/relationships/image" Target="media/image1.png"/><Relationship Id="rId51" Type="http://schemas.microsoft.com/office/2011/relationships/commentsExtended" Target="commentsExtended.xml"/><Relationship Id="rId72" Type="http://schemas.openxmlformats.org/officeDocument/2006/relationships/hyperlink" Target="https://ntrs.nasa.gov/citations/19740022614" TargetMode="External"/><Relationship Id="rId80"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9.png"/><Relationship Id="rId67" Type="http://schemas.openxmlformats.org/officeDocument/2006/relationships/hyperlink" Target="https://doi.org/10.38141/cenbook-0081"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books.google.com/books?id=AFHDCAAAQBAJ"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7.gif"/><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microsoft.com/office/2016/09/relationships/commentsIds" Target="commentsIds.xml"/><Relationship Id="rId60" Type="http://schemas.openxmlformats.org/officeDocument/2006/relationships/image" Target="media/image50.png"/><Relationship Id="rId65" Type="http://schemas.openxmlformats.org/officeDocument/2006/relationships/hyperlink" Target="https://mappinggis.com/2020/07/los-6-indices-de-vegetacion-para-completar-el-ndvi/" TargetMode="External"/><Relationship Id="rId73" Type="http://schemas.openxmlformats.org/officeDocument/2006/relationships/hyperlink" Target="https://eos.com/es/blog/indices-de-vegetacion/" TargetMode="External"/><Relationship Id="rId78" Type="http://schemas.microsoft.com/office/2011/relationships/people" Target="people.xml"/><Relationship Id="rId8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comments" Target="comments.xml"/><Relationship Id="rId55" Type="http://schemas.openxmlformats.org/officeDocument/2006/relationships/image" Target="media/image45.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doi.org/10.14358/PERS.70.5.589"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dialnet.unirioja.es/servlet/libro?codigo=767633"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hF3BhbB8210Or6nqsMwyXdOWKw==">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CFB0F6-24BB-44C7-B11E-E476338BB938}"/>
</file>

<file path=customXml/itemProps3.xml><?xml version="1.0" encoding="utf-8"?>
<ds:datastoreItem xmlns:ds="http://schemas.openxmlformats.org/officeDocument/2006/customXml" ds:itemID="{B18739D4-68CF-4EC9-981D-627BC5D7066C}"/>
</file>

<file path=customXml/itemProps4.xml><?xml version="1.0" encoding="utf-8"?>
<ds:datastoreItem xmlns:ds="http://schemas.openxmlformats.org/officeDocument/2006/customXml" ds:itemID="{827C0849-6698-453A-B7AF-24C3CC46B250}"/>
</file>

<file path=docProps/app.xml><?xml version="1.0" encoding="utf-8"?>
<Properties xmlns="http://schemas.openxmlformats.org/officeDocument/2006/extended-properties" xmlns:vt="http://schemas.openxmlformats.org/officeDocument/2006/docPropsVTypes">
  <Template>Normal.dotm</Template>
  <TotalTime>3</TotalTime>
  <Pages>22</Pages>
  <Words>5954</Words>
  <Characters>34238</Characters>
  <Application>Microsoft Office Word</Application>
  <DocSecurity>0</DocSecurity>
  <Lines>1711</Lines>
  <Paragraphs>1116</Paragraphs>
  <ScaleCrop>false</ScaleCrop>
  <Company/>
  <LinksUpToDate>false</LinksUpToDate>
  <CharactersWithSpaces>39076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Paula Marcela Vidal Quintero</cp:lastModifiedBy>
  <cp:revision>2</cp:revision>
  <dcterms:created xsi:type="dcterms:W3CDTF">2021-02-11T22:20:00Z</dcterms:created>
  <dcterms:modified xsi:type="dcterms:W3CDTF">2026-09-24T04:53:00Z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