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1A6AE" w14:textId="2C9E7C6D" w:rsidR="00910D75" w:rsidRPr="0082701B" w:rsidRDefault="0082701B">
      <w:pPr>
        <w:rPr>
          <w:b/>
          <w:bCs/>
          <w:sz w:val="26"/>
          <w:szCs w:val="26"/>
          <w:lang w:val="en-US"/>
        </w:rPr>
      </w:pPr>
      <w:proofErr w:type="spellStart"/>
      <w:r w:rsidRPr="0082701B">
        <w:rPr>
          <w:b/>
          <w:bCs/>
          <w:sz w:val="26"/>
          <w:szCs w:val="26"/>
          <w:lang w:val="en-US"/>
        </w:rPr>
        <w:t>Aplicación</w:t>
      </w:r>
      <w:proofErr w:type="spellEnd"/>
      <w:r w:rsidRPr="0082701B">
        <w:rPr>
          <w:b/>
          <w:bCs/>
          <w:sz w:val="26"/>
          <w:szCs w:val="26"/>
          <w:lang w:val="en-US"/>
        </w:rPr>
        <w:t xml:space="preserve"> de </w:t>
      </w:r>
      <w:proofErr w:type="spellStart"/>
      <w:r w:rsidRPr="0082701B">
        <w:rPr>
          <w:b/>
          <w:bCs/>
          <w:sz w:val="26"/>
          <w:szCs w:val="26"/>
          <w:lang w:val="en-US"/>
        </w:rPr>
        <w:t>estrategias</w:t>
      </w:r>
      <w:proofErr w:type="spellEnd"/>
      <w:r w:rsidRPr="0082701B">
        <w:rPr>
          <w:b/>
          <w:bCs/>
          <w:sz w:val="26"/>
          <w:szCs w:val="26"/>
          <w:lang w:val="en-US"/>
        </w:rPr>
        <w:t xml:space="preserve"> de </w:t>
      </w:r>
      <w:proofErr w:type="spellStart"/>
      <w:r w:rsidRPr="0082701B">
        <w:rPr>
          <w:b/>
          <w:bCs/>
          <w:sz w:val="26"/>
          <w:szCs w:val="26"/>
          <w:lang w:val="en-US"/>
        </w:rPr>
        <w:t>logística</w:t>
      </w:r>
      <w:proofErr w:type="spellEnd"/>
      <w:r w:rsidRPr="0082701B">
        <w:rPr>
          <w:b/>
          <w:bCs/>
          <w:sz w:val="26"/>
          <w:szCs w:val="26"/>
          <w:lang w:val="en-US"/>
        </w:rPr>
        <w:t xml:space="preserve"> a la </w:t>
      </w:r>
      <w:proofErr w:type="spellStart"/>
      <w:r w:rsidRPr="0082701B">
        <w:rPr>
          <w:b/>
          <w:bCs/>
          <w:sz w:val="26"/>
          <w:szCs w:val="26"/>
          <w:lang w:val="en-US"/>
        </w:rPr>
        <w:t>inversa</w:t>
      </w:r>
      <w:proofErr w:type="spellEnd"/>
    </w:p>
    <w:p w14:paraId="57183272" w14:textId="565418E1" w:rsidR="0082701B" w:rsidRDefault="0082701B">
      <w:pPr>
        <w:rPr>
          <w:lang w:val="en-US"/>
        </w:rPr>
      </w:pPr>
    </w:p>
    <w:tbl>
      <w:tblPr>
        <w:tblW w:w="12606" w:type="dxa"/>
        <w:tblCellMar>
          <w:left w:w="0" w:type="dxa"/>
          <w:right w:w="0" w:type="dxa"/>
        </w:tblCellMar>
        <w:tblLook w:val="0600" w:firstRow="0" w:lastRow="0" w:firstColumn="0" w:lastColumn="0" w:noHBand="1" w:noVBand="1"/>
      </w:tblPr>
      <w:tblGrid>
        <w:gridCol w:w="1400"/>
        <w:gridCol w:w="880"/>
        <w:gridCol w:w="1680"/>
        <w:gridCol w:w="1460"/>
        <w:gridCol w:w="2508"/>
        <w:gridCol w:w="4678"/>
      </w:tblGrid>
      <w:tr w:rsidR="0082701B" w:rsidRPr="0082701B" w14:paraId="00BC2A77" w14:textId="77777777" w:rsidTr="0082701B">
        <w:trPr>
          <w:trHeight w:val="180"/>
        </w:trPr>
        <w:tc>
          <w:tcPr>
            <w:tcW w:w="1400" w:type="dxa"/>
            <w:tcBorders>
              <w:top w:val="single" w:sz="8" w:space="0" w:color="000000"/>
              <w:left w:val="single" w:sz="8" w:space="0" w:color="000000"/>
              <w:bottom w:val="single" w:sz="8" w:space="0" w:color="000000"/>
              <w:right w:val="single" w:sz="8" w:space="0" w:color="000000"/>
            </w:tcBorders>
            <w:shd w:val="clear" w:color="auto" w:fill="ED7D31"/>
            <w:tcMar>
              <w:top w:w="35" w:type="dxa"/>
              <w:left w:w="35" w:type="dxa"/>
              <w:bottom w:w="35" w:type="dxa"/>
              <w:right w:w="35" w:type="dxa"/>
            </w:tcMar>
            <w:hideMark/>
          </w:tcPr>
          <w:p w14:paraId="2F39817E" w14:textId="77777777" w:rsidR="0082701B" w:rsidRPr="0082701B" w:rsidRDefault="0082701B" w:rsidP="0082701B">
            <w:pPr>
              <w:jc w:val="center"/>
              <w:rPr>
                <w:color w:val="FFFFFF" w:themeColor="background1"/>
                <w:lang w:val="es-CO"/>
              </w:rPr>
            </w:pPr>
            <w:r w:rsidRPr="0082701B">
              <w:rPr>
                <w:b/>
                <w:bCs/>
                <w:color w:val="FFFFFF" w:themeColor="background1"/>
                <w:lang w:val="es-CO"/>
              </w:rPr>
              <w:t>Autor</w:t>
            </w:r>
          </w:p>
        </w:tc>
        <w:tc>
          <w:tcPr>
            <w:tcW w:w="880" w:type="dxa"/>
            <w:tcBorders>
              <w:top w:val="single" w:sz="8" w:space="0" w:color="000000"/>
              <w:left w:val="single" w:sz="8" w:space="0" w:color="000000"/>
              <w:bottom w:val="single" w:sz="8" w:space="0" w:color="000000"/>
              <w:right w:val="single" w:sz="8" w:space="0" w:color="000000"/>
            </w:tcBorders>
            <w:shd w:val="clear" w:color="auto" w:fill="ED7D31"/>
            <w:tcMar>
              <w:top w:w="35" w:type="dxa"/>
              <w:left w:w="35" w:type="dxa"/>
              <w:bottom w:w="35" w:type="dxa"/>
              <w:right w:w="35" w:type="dxa"/>
            </w:tcMar>
            <w:hideMark/>
          </w:tcPr>
          <w:p w14:paraId="4C29922C" w14:textId="77777777" w:rsidR="0082701B" w:rsidRPr="0082701B" w:rsidRDefault="0082701B" w:rsidP="0082701B">
            <w:pPr>
              <w:jc w:val="center"/>
              <w:rPr>
                <w:color w:val="FFFFFF" w:themeColor="background1"/>
                <w:lang w:val="es-CO"/>
              </w:rPr>
            </w:pPr>
            <w:r w:rsidRPr="0082701B">
              <w:rPr>
                <w:b/>
                <w:bCs/>
                <w:color w:val="FFFFFF" w:themeColor="background1"/>
                <w:lang w:val="es-CO"/>
              </w:rPr>
              <w:t>Año</w:t>
            </w:r>
          </w:p>
        </w:tc>
        <w:tc>
          <w:tcPr>
            <w:tcW w:w="1680" w:type="dxa"/>
            <w:tcBorders>
              <w:top w:val="single" w:sz="8" w:space="0" w:color="000000"/>
              <w:left w:val="single" w:sz="8" w:space="0" w:color="000000"/>
              <w:bottom w:val="single" w:sz="8" w:space="0" w:color="000000"/>
              <w:right w:val="single" w:sz="8" w:space="0" w:color="000000"/>
            </w:tcBorders>
            <w:shd w:val="clear" w:color="auto" w:fill="ED7D31"/>
            <w:tcMar>
              <w:top w:w="35" w:type="dxa"/>
              <w:left w:w="35" w:type="dxa"/>
              <w:bottom w:w="35" w:type="dxa"/>
              <w:right w:w="35" w:type="dxa"/>
            </w:tcMar>
            <w:hideMark/>
          </w:tcPr>
          <w:p w14:paraId="71D972D4" w14:textId="77777777" w:rsidR="0082701B" w:rsidRPr="0082701B" w:rsidRDefault="0082701B" w:rsidP="0082701B">
            <w:pPr>
              <w:jc w:val="center"/>
              <w:rPr>
                <w:color w:val="FFFFFF" w:themeColor="background1"/>
                <w:lang w:val="es-CO"/>
              </w:rPr>
            </w:pPr>
            <w:r w:rsidRPr="0082701B">
              <w:rPr>
                <w:b/>
                <w:bCs/>
                <w:color w:val="FFFFFF" w:themeColor="background1"/>
                <w:lang w:val="es-CO"/>
              </w:rPr>
              <w:t>Muestra</w:t>
            </w:r>
          </w:p>
        </w:tc>
        <w:tc>
          <w:tcPr>
            <w:tcW w:w="1460" w:type="dxa"/>
            <w:tcBorders>
              <w:top w:val="single" w:sz="8" w:space="0" w:color="000000"/>
              <w:left w:val="single" w:sz="8" w:space="0" w:color="000000"/>
              <w:bottom w:val="single" w:sz="8" w:space="0" w:color="000000"/>
              <w:right w:val="single" w:sz="8" w:space="0" w:color="000000"/>
            </w:tcBorders>
            <w:shd w:val="clear" w:color="auto" w:fill="ED7D31"/>
            <w:tcMar>
              <w:top w:w="35" w:type="dxa"/>
              <w:left w:w="35" w:type="dxa"/>
              <w:bottom w:w="35" w:type="dxa"/>
              <w:right w:w="35" w:type="dxa"/>
            </w:tcMar>
            <w:hideMark/>
          </w:tcPr>
          <w:p w14:paraId="3E172ED8" w14:textId="77777777" w:rsidR="0082701B" w:rsidRPr="0082701B" w:rsidRDefault="0082701B" w:rsidP="0082701B">
            <w:pPr>
              <w:jc w:val="center"/>
              <w:rPr>
                <w:color w:val="FFFFFF" w:themeColor="background1"/>
                <w:lang w:val="es-CO"/>
              </w:rPr>
            </w:pPr>
            <w:r w:rsidRPr="0082701B">
              <w:rPr>
                <w:b/>
                <w:bCs/>
                <w:color w:val="FFFFFF" w:themeColor="background1"/>
                <w:lang w:val="es-CO"/>
              </w:rPr>
              <w:t>País</w:t>
            </w:r>
          </w:p>
        </w:tc>
        <w:tc>
          <w:tcPr>
            <w:tcW w:w="2508" w:type="dxa"/>
            <w:tcBorders>
              <w:top w:val="single" w:sz="8" w:space="0" w:color="000000"/>
              <w:left w:val="single" w:sz="8" w:space="0" w:color="000000"/>
              <w:bottom w:val="single" w:sz="8" w:space="0" w:color="000000"/>
              <w:right w:val="single" w:sz="8" w:space="0" w:color="000000"/>
            </w:tcBorders>
            <w:shd w:val="clear" w:color="auto" w:fill="ED7D31"/>
            <w:tcMar>
              <w:top w:w="35" w:type="dxa"/>
              <w:left w:w="35" w:type="dxa"/>
              <w:bottom w:w="35" w:type="dxa"/>
              <w:right w:w="35" w:type="dxa"/>
            </w:tcMar>
            <w:hideMark/>
          </w:tcPr>
          <w:p w14:paraId="1A6CE9D1" w14:textId="77777777" w:rsidR="0082701B" w:rsidRPr="0082701B" w:rsidRDefault="0082701B" w:rsidP="0082701B">
            <w:pPr>
              <w:jc w:val="center"/>
              <w:rPr>
                <w:color w:val="FFFFFF" w:themeColor="background1"/>
                <w:lang w:val="es-CO"/>
              </w:rPr>
            </w:pPr>
            <w:r w:rsidRPr="0082701B">
              <w:rPr>
                <w:b/>
                <w:bCs/>
                <w:color w:val="FFFFFF" w:themeColor="background1"/>
                <w:lang w:val="es-CO"/>
              </w:rPr>
              <w:t>Variables</w:t>
            </w:r>
          </w:p>
        </w:tc>
        <w:tc>
          <w:tcPr>
            <w:tcW w:w="4678" w:type="dxa"/>
            <w:tcBorders>
              <w:top w:val="single" w:sz="8" w:space="0" w:color="000000"/>
              <w:left w:val="single" w:sz="8" w:space="0" w:color="000000"/>
              <w:bottom w:val="single" w:sz="8" w:space="0" w:color="000000"/>
              <w:right w:val="single" w:sz="8" w:space="0" w:color="000000"/>
            </w:tcBorders>
            <w:shd w:val="clear" w:color="auto" w:fill="ED7D31"/>
            <w:tcMar>
              <w:top w:w="35" w:type="dxa"/>
              <w:left w:w="35" w:type="dxa"/>
              <w:bottom w:w="35" w:type="dxa"/>
              <w:right w:w="35" w:type="dxa"/>
            </w:tcMar>
            <w:hideMark/>
          </w:tcPr>
          <w:p w14:paraId="5F52A621" w14:textId="77777777" w:rsidR="0082701B" w:rsidRPr="0082701B" w:rsidRDefault="0082701B" w:rsidP="0082701B">
            <w:pPr>
              <w:jc w:val="center"/>
              <w:rPr>
                <w:color w:val="FFFFFF" w:themeColor="background1"/>
                <w:lang w:val="es-CO"/>
              </w:rPr>
            </w:pPr>
            <w:r w:rsidRPr="0082701B">
              <w:rPr>
                <w:b/>
                <w:bCs/>
                <w:color w:val="FFFFFF" w:themeColor="background1"/>
                <w:lang w:val="es-CO"/>
              </w:rPr>
              <w:t>Resultados</w:t>
            </w:r>
          </w:p>
        </w:tc>
      </w:tr>
      <w:tr w:rsidR="0082701B" w:rsidRPr="0082701B" w14:paraId="5409667E" w14:textId="77777777" w:rsidTr="0082701B">
        <w:trPr>
          <w:trHeight w:val="1479"/>
        </w:trPr>
        <w:tc>
          <w:tcPr>
            <w:tcW w:w="140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4DB5CEFA" w14:textId="77777777" w:rsidR="0082701B" w:rsidRPr="0082701B" w:rsidRDefault="0082701B" w:rsidP="0082701B">
            <w:pPr>
              <w:rPr>
                <w:lang w:val="es-CO"/>
              </w:rPr>
            </w:pPr>
            <w:r w:rsidRPr="0082701B">
              <w:rPr>
                <w:lang w:val="es-CO"/>
              </w:rPr>
              <w:t>Bustos</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52D22C0E" w14:textId="77777777" w:rsidR="0082701B" w:rsidRPr="0082701B" w:rsidRDefault="0082701B" w:rsidP="0082701B">
            <w:pPr>
              <w:jc w:val="center"/>
              <w:rPr>
                <w:lang w:val="es-CO"/>
              </w:rPr>
            </w:pPr>
            <w:r w:rsidRPr="0082701B">
              <w:rPr>
                <w:lang w:val="es-CO"/>
              </w:rPr>
              <w:t>2015</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63F0F538" w14:textId="77777777" w:rsidR="0082701B" w:rsidRPr="0082701B" w:rsidRDefault="0082701B" w:rsidP="0082701B">
            <w:pPr>
              <w:jc w:val="center"/>
              <w:rPr>
                <w:lang w:val="es-CO"/>
              </w:rPr>
            </w:pPr>
            <w:r w:rsidRPr="0082701B">
              <w:rPr>
                <w:lang w:val="es-CO"/>
              </w:rPr>
              <w:t>45 industrias manufactureras</w:t>
            </w:r>
          </w:p>
        </w:tc>
        <w:tc>
          <w:tcPr>
            <w:tcW w:w="146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2DFC40E8" w14:textId="77777777" w:rsidR="0082701B" w:rsidRPr="0082701B" w:rsidRDefault="0082701B" w:rsidP="0082701B">
            <w:pPr>
              <w:jc w:val="center"/>
              <w:rPr>
                <w:lang w:val="es-CO"/>
              </w:rPr>
            </w:pPr>
            <w:r w:rsidRPr="0082701B">
              <w:rPr>
                <w:lang w:val="es-CO"/>
              </w:rPr>
              <w:t>Venezuela</w:t>
            </w:r>
          </w:p>
        </w:tc>
        <w:tc>
          <w:tcPr>
            <w:tcW w:w="2508"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4152DCC6" w14:textId="77777777" w:rsidR="0082701B" w:rsidRPr="0082701B" w:rsidRDefault="0082701B" w:rsidP="0082701B">
            <w:pPr>
              <w:numPr>
                <w:ilvl w:val="0"/>
                <w:numId w:val="1"/>
              </w:numPr>
              <w:ind w:left="207" w:hanging="141"/>
              <w:rPr>
                <w:lang w:val="es-CO"/>
              </w:rPr>
            </w:pPr>
            <w:proofErr w:type="spellStart"/>
            <w:r w:rsidRPr="0082701B">
              <w:rPr>
                <w:lang w:val="es-CO"/>
              </w:rPr>
              <w:t>Remanufactura</w:t>
            </w:r>
            <w:proofErr w:type="spellEnd"/>
          </w:p>
          <w:p w14:paraId="22EC5F43" w14:textId="77777777" w:rsidR="0082701B" w:rsidRPr="0082701B" w:rsidRDefault="0082701B" w:rsidP="0082701B">
            <w:pPr>
              <w:numPr>
                <w:ilvl w:val="0"/>
                <w:numId w:val="1"/>
              </w:numPr>
              <w:ind w:left="207" w:hanging="141"/>
              <w:rPr>
                <w:lang w:val="es-CO"/>
              </w:rPr>
            </w:pPr>
            <w:r w:rsidRPr="0082701B">
              <w:rPr>
                <w:lang w:val="es-CO"/>
              </w:rPr>
              <w:t>Reutilización</w:t>
            </w:r>
          </w:p>
          <w:p w14:paraId="610F642E" w14:textId="77777777" w:rsidR="0082701B" w:rsidRPr="0082701B" w:rsidRDefault="0082701B" w:rsidP="0082701B">
            <w:pPr>
              <w:numPr>
                <w:ilvl w:val="0"/>
                <w:numId w:val="1"/>
              </w:numPr>
              <w:ind w:left="207" w:hanging="141"/>
              <w:rPr>
                <w:lang w:val="es-CO"/>
              </w:rPr>
            </w:pPr>
            <w:r w:rsidRPr="0082701B">
              <w:rPr>
                <w:lang w:val="es-CO"/>
              </w:rPr>
              <w:t>Reparación</w:t>
            </w:r>
          </w:p>
          <w:p w14:paraId="2683268F" w14:textId="77777777" w:rsidR="0082701B" w:rsidRPr="0082701B" w:rsidRDefault="0082701B" w:rsidP="0082701B">
            <w:pPr>
              <w:numPr>
                <w:ilvl w:val="0"/>
                <w:numId w:val="1"/>
              </w:numPr>
              <w:ind w:left="207" w:hanging="141"/>
              <w:rPr>
                <w:lang w:val="es-CO"/>
              </w:rPr>
            </w:pPr>
            <w:r w:rsidRPr="0082701B">
              <w:rPr>
                <w:lang w:val="es-CO"/>
              </w:rPr>
              <w:t>Reciclaje</w:t>
            </w:r>
          </w:p>
          <w:p w14:paraId="106AFA5E" w14:textId="77777777" w:rsidR="0082701B" w:rsidRPr="0082701B" w:rsidRDefault="0082701B" w:rsidP="0082701B">
            <w:pPr>
              <w:numPr>
                <w:ilvl w:val="0"/>
                <w:numId w:val="1"/>
              </w:numPr>
              <w:ind w:left="207" w:hanging="141"/>
              <w:rPr>
                <w:lang w:val="es-CO"/>
              </w:rPr>
            </w:pPr>
            <w:r w:rsidRPr="0082701B">
              <w:rPr>
                <w:lang w:val="es-CO"/>
              </w:rPr>
              <w:t>Gestión de residuos</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7313A763" w14:textId="77777777" w:rsidR="0082701B" w:rsidRPr="0082701B" w:rsidRDefault="0082701B" w:rsidP="0082701B">
            <w:pPr>
              <w:rPr>
                <w:lang w:val="es-CO"/>
              </w:rPr>
            </w:pPr>
            <w:r w:rsidRPr="0082701B">
              <w:rPr>
                <w:lang w:val="es-CO"/>
              </w:rPr>
              <w:t xml:space="preserve">Si bien el análisis contempla a la logística inversa como una estrategia  de diferenciación, se destaca que existe poca atención en las prácticas y operaciones de reciclaje, </w:t>
            </w:r>
            <w:proofErr w:type="spellStart"/>
            <w:r w:rsidRPr="0082701B">
              <w:rPr>
                <w:lang w:val="es-CO"/>
              </w:rPr>
              <w:t>canibalización</w:t>
            </w:r>
            <w:proofErr w:type="spellEnd"/>
            <w:r w:rsidRPr="0082701B">
              <w:rPr>
                <w:lang w:val="es-CO"/>
              </w:rPr>
              <w:t>, reutilización, control de la contaminación y las certificaciones.</w:t>
            </w:r>
          </w:p>
        </w:tc>
      </w:tr>
      <w:tr w:rsidR="0082701B" w:rsidRPr="0082701B" w14:paraId="69211CC3" w14:textId="77777777" w:rsidTr="0082701B">
        <w:trPr>
          <w:trHeight w:val="1563"/>
        </w:trPr>
        <w:tc>
          <w:tcPr>
            <w:tcW w:w="140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07ADCE69" w14:textId="77777777" w:rsidR="0082701B" w:rsidRPr="0082701B" w:rsidRDefault="0082701B" w:rsidP="0082701B">
            <w:pPr>
              <w:rPr>
                <w:lang w:val="es-CO"/>
              </w:rPr>
            </w:pPr>
            <w:r w:rsidRPr="0082701B">
              <w:rPr>
                <w:lang w:val="es-CO"/>
              </w:rPr>
              <w:t>Noé</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31D4556E" w14:textId="77777777" w:rsidR="0082701B" w:rsidRPr="0082701B" w:rsidRDefault="0082701B" w:rsidP="0082701B">
            <w:pPr>
              <w:jc w:val="center"/>
              <w:rPr>
                <w:lang w:val="es-CO"/>
              </w:rPr>
            </w:pPr>
            <w:r w:rsidRPr="0082701B">
              <w:rPr>
                <w:lang w:val="es-CO"/>
              </w:rPr>
              <w:t>2015</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39DE3B26" w14:textId="77777777" w:rsidR="0082701B" w:rsidRPr="0082701B" w:rsidRDefault="0082701B" w:rsidP="0082701B">
            <w:pPr>
              <w:jc w:val="center"/>
              <w:rPr>
                <w:lang w:val="es-CO"/>
              </w:rPr>
            </w:pPr>
            <w:r w:rsidRPr="0082701B">
              <w:rPr>
                <w:lang w:val="es-CO"/>
              </w:rPr>
              <w:t>6 empresas</w:t>
            </w:r>
          </w:p>
        </w:tc>
        <w:tc>
          <w:tcPr>
            <w:tcW w:w="146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1D8FE0A5" w14:textId="77777777" w:rsidR="0082701B" w:rsidRPr="0082701B" w:rsidRDefault="0082701B" w:rsidP="0082701B">
            <w:pPr>
              <w:jc w:val="center"/>
              <w:rPr>
                <w:lang w:val="es-CO"/>
              </w:rPr>
            </w:pPr>
            <w:r w:rsidRPr="0082701B">
              <w:rPr>
                <w:lang w:val="es-CO"/>
              </w:rPr>
              <w:t>Argentina</w:t>
            </w:r>
          </w:p>
        </w:tc>
        <w:tc>
          <w:tcPr>
            <w:tcW w:w="2508"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33A9EA7E" w14:textId="77777777" w:rsidR="0082701B" w:rsidRPr="0082701B" w:rsidRDefault="0082701B" w:rsidP="0082701B">
            <w:pPr>
              <w:ind w:left="66"/>
              <w:rPr>
                <w:lang w:val="es-CO"/>
              </w:rPr>
            </w:pPr>
            <w:r w:rsidRPr="0082701B">
              <w:rPr>
                <w:lang w:val="es-CO"/>
              </w:rPr>
              <w:t>- Reciclar</w:t>
            </w:r>
          </w:p>
          <w:p w14:paraId="1895A15E" w14:textId="77777777" w:rsidR="0082701B" w:rsidRPr="0082701B" w:rsidRDefault="0082701B" w:rsidP="0082701B">
            <w:pPr>
              <w:ind w:left="66"/>
              <w:rPr>
                <w:lang w:val="es-CO"/>
              </w:rPr>
            </w:pPr>
            <w:r w:rsidRPr="0082701B">
              <w:rPr>
                <w:lang w:val="es-CO"/>
              </w:rPr>
              <w:t>- Reutilizar</w:t>
            </w:r>
          </w:p>
          <w:p w14:paraId="3F5C5277" w14:textId="77777777" w:rsidR="0082701B" w:rsidRPr="0082701B" w:rsidRDefault="0082701B" w:rsidP="0082701B">
            <w:pPr>
              <w:ind w:left="66"/>
              <w:rPr>
                <w:lang w:val="es-CO"/>
              </w:rPr>
            </w:pPr>
            <w:r w:rsidRPr="0082701B">
              <w:rPr>
                <w:lang w:val="es-CO"/>
              </w:rPr>
              <w:t>- Reducir</w:t>
            </w:r>
          </w:p>
          <w:p w14:paraId="53D4655D" w14:textId="77777777" w:rsidR="0082701B" w:rsidRPr="0082701B" w:rsidRDefault="0082701B" w:rsidP="0082701B">
            <w:pPr>
              <w:rPr>
                <w:lang w:val="es-CO"/>
              </w:rPr>
            </w:pPr>
            <w:r w:rsidRPr="0082701B">
              <w:rPr>
                <w:lang w:val="es-CO"/>
              </w:rPr>
              <w:t xml:space="preserve"> </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16417B3A" w14:textId="77777777" w:rsidR="0082701B" w:rsidRPr="0082701B" w:rsidRDefault="0082701B" w:rsidP="0082701B">
            <w:pPr>
              <w:rPr>
                <w:lang w:val="es-CO"/>
              </w:rPr>
            </w:pPr>
            <w:r w:rsidRPr="0082701B">
              <w:rPr>
                <w:lang w:val="es-CO"/>
              </w:rPr>
              <w:t xml:space="preserve">Los autores del estudio identifican que el flujo inverso está vinculado al sistema 3R con el contexto de sustentabilidad y responsabilidad social. Existe cooperación con </w:t>
            </w:r>
            <w:proofErr w:type="spellStart"/>
            <w:r w:rsidRPr="0082701B">
              <w:rPr>
                <w:i/>
                <w:iCs/>
                <w:lang w:val="es-CO"/>
              </w:rPr>
              <w:t>stakeholders</w:t>
            </w:r>
            <w:proofErr w:type="spellEnd"/>
            <w:r w:rsidRPr="0082701B">
              <w:rPr>
                <w:i/>
                <w:iCs/>
                <w:lang w:val="es-CO"/>
              </w:rPr>
              <w:t xml:space="preserve"> </w:t>
            </w:r>
            <w:r w:rsidRPr="0082701B">
              <w:rPr>
                <w:lang w:val="es-CO"/>
              </w:rPr>
              <w:t>para aspectos de eficiencia, calidad e innovación. Se destaca la relación positiva entre la logística inversa y el desempeño de las empresas.</w:t>
            </w:r>
          </w:p>
        </w:tc>
      </w:tr>
      <w:tr w:rsidR="0082701B" w:rsidRPr="0082701B" w14:paraId="449E2753" w14:textId="77777777" w:rsidTr="0082701B">
        <w:trPr>
          <w:trHeight w:val="1941"/>
        </w:trPr>
        <w:tc>
          <w:tcPr>
            <w:tcW w:w="140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365943A0" w14:textId="77777777" w:rsidR="0082701B" w:rsidRPr="0082701B" w:rsidRDefault="0082701B" w:rsidP="0082701B">
            <w:pPr>
              <w:rPr>
                <w:lang w:val="es-CO"/>
              </w:rPr>
            </w:pPr>
            <w:r w:rsidRPr="0082701B">
              <w:rPr>
                <w:lang w:val="es-CO"/>
              </w:rPr>
              <w:t xml:space="preserve">Pagan, </w:t>
            </w:r>
            <w:proofErr w:type="spellStart"/>
            <w:r w:rsidRPr="0082701B">
              <w:rPr>
                <w:lang w:val="es-CO"/>
              </w:rPr>
              <w:t>Tonelli</w:t>
            </w:r>
            <w:proofErr w:type="spellEnd"/>
          </w:p>
          <w:p w14:paraId="1984225A" w14:textId="77777777" w:rsidR="0082701B" w:rsidRPr="0082701B" w:rsidRDefault="0082701B" w:rsidP="0082701B">
            <w:pPr>
              <w:rPr>
                <w:lang w:val="es-CO"/>
              </w:rPr>
            </w:pPr>
            <w:r w:rsidRPr="0082701B">
              <w:rPr>
                <w:lang w:val="es-CO"/>
              </w:rPr>
              <w:t>Silva y</w:t>
            </w:r>
          </w:p>
          <w:p w14:paraId="7D268645" w14:textId="77777777" w:rsidR="0082701B" w:rsidRPr="0082701B" w:rsidRDefault="0082701B" w:rsidP="0082701B">
            <w:pPr>
              <w:rPr>
                <w:lang w:val="es-CO"/>
              </w:rPr>
            </w:pPr>
            <w:r w:rsidRPr="0082701B">
              <w:rPr>
                <w:lang w:val="es-CO"/>
              </w:rPr>
              <w:t>Da Silva</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49FA1262" w14:textId="77777777" w:rsidR="0082701B" w:rsidRPr="0082701B" w:rsidRDefault="0082701B" w:rsidP="0082701B">
            <w:pPr>
              <w:jc w:val="center"/>
              <w:rPr>
                <w:lang w:val="es-CO"/>
              </w:rPr>
            </w:pPr>
            <w:r w:rsidRPr="0082701B">
              <w:rPr>
                <w:lang w:val="es-CO"/>
              </w:rPr>
              <w:t>2017</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19A00342" w14:textId="77777777" w:rsidR="0082701B" w:rsidRPr="0082701B" w:rsidRDefault="0082701B" w:rsidP="0082701B">
            <w:pPr>
              <w:jc w:val="center"/>
              <w:rPr>
                <w:lang w:val="es-CO"/>
              </w:rPr>
            </w:pPr>
            <w:r w:rsidRPr="0082701B">
              <w:rPr>
                <w:lang w:val="es-CO"/>
              </w:rPr>
              <w:t>3 supermercado en Sao-Paulo</w:t>
            </w:r>
          </w:p>
        </w:tc>
        <w:tc>
          <w:tcPr>
            <w:tcW w:w="146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2AA9C3A9" w14:textId="77777777" w:rsidR="0082701B" w:rsidRPr="0082701B" w:rsidRDefault="0082701B" w:rsidP="0082701B">
            <w:pPr>
              <w:jc w:val="center"/>
              <w:rPr>
                <w:lang w:val="es-CO"/>
              </w:rPr>
            </w:pPr>
            <w:r w:rsidRPr="0082701B">
              <w:rPr>
                <w:lang w:val="es-CO"/>
              </w:rPr>
              <w:t>Brasil</w:t>
            </w:r>
          </w:p>
        </w:tc>
        <w:tc>
          <w:tcPr>
            <w:tcW w:w="2508"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4DC3E536" w14:textId="77777777" w:rsidR="0082701B" w:rsidRPr="0082701B" w:rsidRDefault="0082701B" w:rsidP="0082701B">
            <w:pPr>
              <w:ind w:left="66"/>
              <w:rPr>
                <w:lang w:val="es-CO"/>
              </w:rPr>
            </w:pPr>
            <w:r w:rsidRPr="0082701B">
              <w:rPr>
                <w:lang w:val="es-CO"/>
              </w:rPr>
              <w:t>- Reciclaje</w:t>
            </w:r>
          </w:p>
          <w:p w14:paraId="6F3D3902" w14:textId="77777777" w:rsidR="0082701B" w:rsidRPr="0082701B" w:rsidRDefault="0082701B" w:rsidP="0082701B">
            <w:pPr>
              <w:ind w:left="66"/>
              <w:rPr>
                <w:lang w:val="es-CO"/>
              </w:rPr>
            </w:pPr>
            <w:r w:rsidRPr="0082701B">
              <w:rPr>
                <w:lang w:val="es-CO"/>
              </w:rPr>
              <w:t>- Gestión de recursos</w:t>
            </w:r>
          </w:p>
          <w:p w14:paraId="1AC0ED40" w14:textId="77777777" w:rsidR="0082701B" w:rsidRPr="0082701B" w:rsidRDefault="0082701B" w:rsidP="0082701B">
            <w:pPr>
              <w:ind w:left="66"/>
              <w:rPr>
                <w:lang w:val="es-CO"/>
              </w:rPr>
            </w:pPr>
            <w:r w:rsidRPr="0082701B">
              <w:rPr>
                <w:lang w:val="es-CO"/>
              </w:rPr>
              <w:t>- Análisis de costos</w:t>
            </w:r>
          </w:p>
          <w:p w14:paraId="765A7CE6" w14:textId="77777777" w:rsidR="0082701B" w:rsidRPr="0082701B" w:rsidRDefault="0082701B" w:rsidP="0082701B">
            <w:pPr>
              <w:rPr>
                <w:lang w:val="es-CO"/>
              </w:rPr>
            </w:pPr>
            <w:r w:rsidRPr="0082701B">
              <w:rPr>
                <w:lang w:val="es-CO"/>
              </w:rPr>
              <w:t xml:space="preserve"> </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08767CCB" w14:textId="77777777" w:rsidR="0082701B" w:rsidRPr="0082701B" w:rsidRDefault="0082701B" w:rsidP="0082701B">
            <w:pPr>
              <w:rPr>
                <w:lang w:val="es-CO"/>
              </w:rPr>
            </w:pPr>
            <w:r w:rsidRPr="0082701B">
              <w:rPr>
                <w:lang w:val="es-CO"/>
              </w:rPr>
              <w:t>Mediante el estudio de casos se establece que la logística inversa reduce los volúmenes de plástico y cartón en los supermercados, se deja de producir al ambiente de materiales bióticos y abióticos, y se evita la contaminación del agua y el aire. Al mismo tiempo que realiza la gestión de residuos, el reciclaje y reventa, factores que mejoran la imagen de la empresa, reducen costos y generan ganancias adicionales.</w:t>
            </w:r>
          </w:p>
        </w:tc>
      </w:tr>
      <w:tr w:rsidR="0082701B" w:rsidRPr="0082701B" w14:paraId="304A3C16" w14:textId="77777777" w:rsidTr="0082701B">
        <w:trPr>
          <w:trHeight w:val="1689"/>
        </w:trPr>
        <w:tc>
          <w:tcPr>
            <w:tcW w:w="140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0257821C" w14:textId="77777777" w:rsidR="0082701B" w:rsidRPr="0082701B" w:rsidRDefault="0082701B" w:rsidP="0082701B">
            <w:pPr>
              <w:rPr>
                <w:lang w:val="es-CO"/>
              </w:rPr>
            </w:pPr>
            <w:proofErr w:type="spellStart"/>
            <w:r w:rsidRPr="0082701B">
              <w:rPr>
                <w:lang w:val="es-CO"/>
              </w:rPr>
              <w:lastRenderedPageBreak/>
              <w:t>Lopes</w:t>
            </w:r>
            <w:proofErr w:type="spellEnd"/>
          </w:p>
          <w:p w14:paraId="72270F4F" w14:textId="77777777" w:rsidR="0082701B" w:rsidRPr="0082701B" w:rsidRDefault="0082701B" w:rsidP="0082701B">
            <w:pPr>
              <w:rPr>
                <w:lang w:val="es-CO"/>
              </w:rPr>
            </w:pPr>
            <w:proofErr w:type="spellStart"/>
            <w:r w:rsidRPr="0082701B">
              <w:rPr>
                <w:lang w:val="es-CO"/>
              </w:rPr>
              <w:t>D´Agosto</w:t>
            </w:r>
            <w:proofErr w:type="spellEnd"/>
            <w:r w:rsidRPr="0082701B">
              <w:rPr>
                <w:lang w:val="es-CO"/>
              </w:rPr>
              <w:t>,</w:t>
            </w:r>
          </w:p>
          <w:p w14:paraId="5F83512C" w14:textId="77777777" w:rsidR="0082701B" w:rsidRPr="0082701B" w:rsidRDefault="0082701B" w:rsidP="0082701B">
            <w:pPr>
              <w:rPr>
                <w:lang w:val="es-CO"/>
              </w:rPr>
            </w:pPr>
            <w:r w:rsidRPr="0082701B">
              <w:rPr>
                <w:lang w:val="es-CO"/>
              </w:rPr>
              <w:t>Ferreira y</w:t>
            </w:r>
          </w:p>
          <w:p w14:paraId="4BCDDF1F" w14:textId="77777777" w:rsidR="0082701B" w:rsidRPr="0082701B" w:rsidRDefault="0082701B" w:rsidP="0082701B">
            <w:pPr>
              <w:rPr>
                <w:lang w:val="es-CO"/>
              </w:rPr>
            </w:pPr>
            <w:r w:rsidRPr="0082701B">
              <w:rPr>
                <w:lang w:val="es-CO"/>
              </w:rPr>
              <w:t>Oliveira</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33F595CF" w14:textId="77777777" w:rsidR="0082701B" w:rsidRPr="0082701B" w:rsidRDefault="0082701B" w:rsidP="0082701B">
            <w:pPr>
              <w:rPr>
                <w:lang w:val="es-CO"/>
              </w:rPr>
            </w:pPr>
            <w:r w:rsidRPr="0082701B">
              <w:rPr>
                <w:lang w:val="es-CO"/>
              </w:rPr>
              <w:t>2014</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6F80EF1A" w14:textId="77777777" w:rsidR="0082701B" w:rsidRPr="0082701B" w:rsidRDefault="0082701B" w:rsidP="0082701B">
            <w:pPr>
              <w:rPr>
                <w:lang w:val="es-CO"/>
              </w:rPr>
            </w:pPr>
            <w:r w:rsidRPr="0082701B">
              <w:rPr>
                <w:lang w:val="es-CO"/>
              </w:rPr>
              <w:t>3 almacenes</w:t>
            </w:r>
          </w:p>
        </w:tc>
        <w:tc>
          <w:tcPr>
            <w:tcW w:w="1460"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4061AE88" w14:textId="77777777" w:rsidR="0082701B" w:rsidRPr="0082701B" w:rsidRDefault="0082701B" w:rsidP="0082701B">
            <w:pPr>
              <w:rPr>
                <w:lang w:val="es-CO"/>
              </w:rPr>
            </w:pPr>
            <w:r w:rsidRPr="0082701B">
              <w:rPr>
                <w:lang w:val="es-CO"/>
              </w:rPr>
              <w:t>Brasil</w:t>
            </w:r>
          </w:p>
        </w:tc>
        <w:tc>
          <w:tcPr>
            <w:tcW w:w="2508"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7E717B6F" w14:textId="77777777" w:rsidR="0082701B" w:rsidRPr="0082701B" w:rsidRDefault="0082701B" w:rsidP="0082701B">
            <w:pPr>
              <w:rPr>
                <w:lang w:val="es-CO"/>
              </w:rPr>
            </w:pPr>
            <w:r w:rsidRPr="0082701B">
              <w:rPr>
                <w:lang w:val="es-CO"/>
              </w:rPr>
              <w:t>- Devoluciones</w:t>
            </w:r>
          </w:p>
          <w:p w14:paraId="62993DF8" w14:textId="77777777" w:rsidR="0082701B" w:rsidRPr="0082701B" w:rsidRDefault="0082701B" w:rsidP="0082701B">
            <w:pPr>
              <w:rPr>
                <w:lang w:val="es-CO"/>
              </w:rPr>
            </w:pPr>
            <w:r w:rsidRPr="0082701B">
              <w:rPr>
                <w:lang w:val="es-CO"/>
              </w:rPr>
              <w:t>- Redes de transporte</w:t>
            </w:r>
          </w:p>
          <w:p w14:paraId="2BEB3B9F" w14:textId="77777777" w:rsidR="0082701B" w:rsidRPr="0082701B" w:rsidRDefault="0082701B" w:rsidP="0082701B">
            <w:pPr>
              <w:rPr>
                <w:lang w:val="es-CO"/>
              </w:rPr>
            </w:pPr>
            <w:r w:rsidRPr="0082701B">
              <w:rPr>
                <w:lang w:val="es-CO"/>
              </w:rPr>
              <w:t>- Análisis de costos</w:t>
            </w:r>
          </w:p>
          <w:p w14:paraId="7A5B0525" w14:textId="77777777" w:rsidR="0082701B" w:rsidRPr="0082701B" w:rsidRDefault="0082701B" w:rsidP="0082701B">
            <w:pPr>
              <w:rPr>
                <w:lang w:val="es-CO"/>
              </w:rPr>
            </w:pPr>
            <w:r w:rsidRPr="0082701B">
              <w:rPr>
                <w:lang w:val="es-CO"/>
              </w:rPr>
              <w:t xml:space="preserve"> </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35" w:type="dxa"/>
              <w:left w:w="35" w:type="dxa"/>
              <w:bottom w:w="35" w:type="dxa"/>
              <w:right w:w="35" w:type="dxa"/>
            </w:tcMar>
            <w:vAlign w:val="center"/>
            <w:hideMark/>
          </w:tcPr>
          <w:p w14:paraId="10E15A19" w14:textId="77777777" w:rsidR="0082701B" w:rsidRPr="0082701B" w:rsidRDefault="0082701B" w:rsidP="0082701B">
            <w:pPr>
              <w:rPr>
                <w:lang w:val="es-CO"/>
              </w:rPr>
            </w:pPr>
            <w:r w:rsidRPr="0082701B">
              <w:rPr>
                <w:lang w:val="es-CO"/>
              </w:rPr>
              <w:t>La logística inversa de las empresas en estudio, reflejan su desempeño en función de la gestión de entradas de productos devueltos, el manejo de información sobre los motivos de los retornos, la gestión de rendimiento respecto a los costos de transporte y almacenamiento; en consideración a la ventaja competitiva que el aporta la imagen corporativa.</w:t>
            </w:r>
          </w:p>
        </w:tc>
      </w:tr>
    </w:tbl>
    <w:p w14:paraId="734B44EE" w14:textId="7480437D" w:rsidR="0082701B" w:rsidRDefault="0082701B">
      <w:pPr>
        <w:rPr>
          <w:lang w:val="en-US"/>
        </w:rPr>
      </w:pPr>
    </w:p>
    <w:p w14:paraId="6F114EE2" w14:textId="77777777" w:rsidR="0082701B" w:rsidRPr="0082701B" w:rsidRDefault="0082701B" w:rsidP="0082701B">
      <w:pPr>
        <w:rPr>
          <w:lang w:val="es-CO"/>
        </w:rPr>
      </w:pPr>
      <w:r w:rsidRPr="0082701B">
        <w:rPr>
          <w:lang w:val="es-CO"/>
        </w:rPr>
        <w:t xml:space="preserve">Nota. Adaptado de González y Ruiz (2020). </w:t>
      </w:r>
    </w:p>
    <w:p w14:paraId="77A9FC22" w14:textId="77777777" w:rsidR="0082701B" w:rsidRPr="0082701B" w:rsidRDefault="0082701B">
      <w:pPr>
        <w:rPr>
          <w:lang w:val="en-US"/>
        </w:rPr>
      </w:pPr>
    </w:p>
    <w:sectPr w:rsidR="0082701B" w:rsidRPr="0082701B" w:rsidSect="0082701B">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14CF1"/>
    <w:multiLevelType w:val="hybridMultilevel"/>
    <w:tmpl w:val="E3D4E9A4"/>
    <w:lvl w:ilvl="0" w:tplc="B60A20E0">
      <w:start w:val="1"/>
      <w:numFmt w:val="bullet"/>
      <w:lvlText w:val="-"/>
      <w:lvlJc w:val="left"/>
      <w:pPr>
        <w:tabs>
          <w:tab w:val="num" w:pos="720"/>
        </w:tabs>
        <w:ind w:left="720" w:hanging="360"/>
      </w:pPr>
      <w:rPr>
        <w:rFonts w:ascii="Arial" w:hAnsi="Arial" w:hint="default"/>
      </w:rPr>
    </w:lvl>
    <w:lvl w:ilvl="1" w:tplc="71F418BE" w:tentative="1">
      <w:start w:val="1"/>
      <w:numFmt w:val="bullet"/>
      <w:lvlText w:val="-"/>
      <w:lvlJc w:val="left"/>
      <w:pPr>
        <w:tabs>
          <w:tab w:val="num" w:pos="1440"/>
        </w:tabs>
        <w:ind w:left="1440" w:hanging="360"/>
      </w:pPr>
      <w:rPr>
        <w:rFonts w:ascii="Arial" w:hAnsi="Arial" w:hint="default"/>
      </w:rPr>
    </w:lvl>
    <w:lvl w:ilvl="2" w:tplc="70C8375C" w:tentative="1">
      <w:start w:val="1"/>
      <w:numFmt w:val="bullet"/>
      <w:lvlText w:val="-"/>
      <w:lvlJc w:val="left"/>
      <w:pPr>
        <w:tabs>
          <w:tab w:val="num" w:pos="2160"/>
        </w:tabs>
        <w:ind w:left="2160" w:hanging="360"/>
      </w:pPr>
      <w:rPr>
        <w:rFonts w:ascii="Arial" w:hAnsi="Arial" w:hint="default"/>
      </w:rPr>
    </w:lvl>
    <w:lvl w:ilvl="3" w:tplc="2D80E05C" w:tentative="1">
      <w:start w:val="1"/>
      <w:numFmt w:val="bullet"/>
      <w:lvlText w:val="-"/>
      <w:lvlJc w:val="left"/>
      <w:pPr>
        <w:tabs>
          <w:tab w:val="num" w:pos="2880"/>
        </w:tabs>
        <w:ind w:left="2880" w:hanging="360"/>
      </w:pPr>
      <w:rPr>
        <w:rFonts w:ascii="Arial" w:hAnsi="Arial" w:hint="default"/>
      </w:rPr>
    </w:lvl>
    <w:lvl w:ilvl="4" w:tplc="EC66C0AE" w:tentative="1">
      <w:start w:val="1"/>
      <w:numFmt w:val="bullet"/>
      <w:lvlText w:val="-"/>
      <w:lvlJc w:val="left"/>
      <w:pPr>
        <w:tabs>
          <w:tab w:val="num" w:pos="3600"/>
        </w:tabs>
        <w:ind w:left="3600" w:hanging="360"/>
      </w:pPr>
      <w:rPr>
        <w:rFonts w:ascii="Arial" w:hAnsi="Arial" w:hint="default"/>
      </w:rPr>
    </w:lvl>
    <w:lvl w:ilvl="5" w:tplc="6FD84CE2" w:tentative="1">
      <w:start w:val="1"/>
      <w:numFmt w:val="bullet"/>
      <w:lvlText w:val="-"/>
      <w:lvlJc w:val="left"/>
      <w:pPr>
        <w:tabs>
          <w:tab w:val="num" w:pos="4320"/>
        </w:tabs>
        <w:ind w:left="4320" w:hanging="360"/>
      </w:pPr>
      <w:rPr>
        <w:rFonts w:ascii="Arial" w:hAnsi="Arial" w:hint="default"/>
      </w:rPr>
    </w:lvl>
    <w:lvl w:ilvl="6" w:tplc="F308252A" w:tentative="1">
      <w:start w:val="1"/>
      <w:numFmt w:val="bullet"/>
      <w:lvlText w:val="-"/>
      <w:lvlJc w:val="left"/>
      <w:pPr>
        <w:tabs>
          <w:tab w:val="num" w:pos="5040"/>
        </w:tabs>
        <w:ind w:left="5040" w:hanging="360"/>
      </w:pPr>
      <w:rPr>
        <w:rFonts w:ascii="Arial" w:hAnsi="Arial" w:hint="default"/>
      </w:rPr>
    </w:lvl>
    <w:lvl w:ilvl="7" w:tplc="43F0B460" w:tentative="1">
      <w:start w:val="1"/>
      <w:numFmt w:val="bullet"/>
      <w:lvlText w:val="-"/>
      <w:lvlJc w:val="left"/>
      <w:pPr>
        <w:tabs>
          <w:tab w:val="num" w:pos="5760"/>
        </w:tabs>
        <w:ind w:left="5760" w:hanging="360"/>
      </w:pPr>
      <w:rPr>
        <w:rFonts w:ascii="Arial" w:hAnsi="Arial" w:hint="default"/>
      </w:rPr>
    </w:lvl>
    <w:lvl w:ilvl="8" w:tplc="7E7836E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4C"/>
    <w:rsid w:val="00275D6A"/>
    <w:rsid w:val="0082701B"/>
    <w:rsid w:val="00910D75"/>
    <w:rsid w:val="00CA5D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8E605A6"/>
  <w15:chartTrackingRefBased/>
  <w15:docId w15:val="{A46FBC11-19BB-3745-899F-24501745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4633">
      <w:bodyDiv w:val="1"/>
      <w:marLeft w:val="0"/>
      <w:marRight w:val="0"/>
      <w:marTop w:val="0"/>
      <w:marBottom w:val="0"/>
      <w:divBdr>
        <w:top w:val="none" w:sz="0" w:space="0" w:color="auto"/>
        <w:left w:val="none" w:sz="0" w:space="0" w:color="auto"/>
        <w:bottom w:val="none" w:sz="0" w:space="0" w:color="auto"/>
        <w:right w:val="none" w:sz="0" w:space="0" w:color="auto"/>
      </w:divBdr>
      <w:divsChild>
        <w:div w:id="1537087558">
          <w:marLeft w:val="504"/>
          <w:marRight w:val="0"/>
          <w:marTop w:val="0"/>
          <w:marBottom w:val="0"/>
          <w:divBdr>
            <w:top w:val="none" w:sz="0" w:space="0" w:color="auto"/>
            <w:left w:val="none" w:sz="0" w:space="0" w:color="auto"/>
            <w:bottom w:val="none" w:sz="0" w:space="0" w:color="auto"/>
            <w:right w:val="none" w:sz="0" w:space="0" w:color="auto"/>
          </w:divBdr>
        </w:div>
        <w:div w:id="314191624">
          <w:marLeft w:val="504"/>
          <w:marRight w:val="0"/>
          <w:marTop w:val="0"/>
          <w:marBottom w:val="0"/>
          <w:divBdr>
            <w:top w:val="none" w:sz="0" w:space="0" w:color="auto"/>
            <w:left w:val="none" w:sz="0" w:space="0" w:color="auto"/>
            <w:bottom w:val="none" w:sz="0" w:space="0" w:color="auto"/>
            <w:right w:val="none" w:sz="0" w:space="0" w:color="auto"/>
          </w:divBdr>
        </w:div>
        <w:div w:id="525481841">
          <w:marLeft w:val="504"/>
          <w:marRight w:val="0"/>
          <w:marTop w:val="0"/>
          <w:marBottom w:val="0"/>
          <w:divBdr>
            <w:top w:val="none" w:sz="0" w:space="0" w:color="auto"/>
            <w:left w:val="none" w:sz="0" w:space="0" w:color="auto"/>
            <w:bottom w:val="none" w:sz="0" w:space="0" w:color="auto"/>
            <w:right w:val="none" w:sz="0" w:space="0" w:color="auto"/>
          </w:divBdr>
        </w:div>
        <w:div w:id="1258440138">
          <w:marLeft w:val="504"/>
          <w:marRight w:val="0"/>
          <w:marTop w:val="0"/>
          <w:marBottom w:val="0"/>
          <w:divBdr>
            <w:top w:val="none" w:sz="0" w:space="0" w:color="auto"/>
            <w:left w:val="none" w:sz="0" w:space="0" w:color="auto"/>
            <w:bottom w:val="none" w:sz="0" w:space="0" w:color="auto"/>
            <w:right w:val="none" w:sz="0" w:space="0" w:color="auto"/>
          </w:divBdr>
        </w:div>
        <w:div w:id="361251056">
          <w:marLeft w:val="504"/>
          <w:marRight w:val="0"/>
          <w:marTop w:val="0"/>
          <w:marBottom w:val="0"/>
          <w:divBdr>
            <w:top w:val="none" w:sz="0" w:space="0" w:color="auto"/>
            <w:left w:val="none" w:sz="0" w:space="0" w:color="auto"/>
            <w:bottom w:val="none" w:sz="0" w:space="0" w:color="auto"/>
            <w:right w:val="none" w:sz="0" w:space="0" w:color="auto"/>
          </w:divBdr>
        </w:div>
      </w:divsChild>
    </w:div>
    <w:div w:id="52784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F3B5BE-E781-49DB-9DFA-42ADD0FCE765}"/>
</file>

<file path=customXml/itemProps2.xml><?xml version="1.0" encoding="utf-8"?>
<ds:datastoreItem xmlns:ds="http://schemas.openxmlformats.org/officeDocument/2006/customXml" ds:itemID="{CD0DBF90-62E1-4D00-B759-DE3712CBA53A}"/>
</file>

<file path=customXml/itemProps3.xml><?xml version="1.0" encoding="utf-8"?>
<ds:datastoreItem xmlns:ds="http://schemas.openxmlformats.org/officeDocument/2006/customXml" ds:itemID="{05419F63-8224-4BD3-85C4-FE9D17CAFA7D}"/>
</file>

<file path=docProps/app.xml><?xml version="1.0" encoding="utf-8"?>
<Properties xmlns="http://schemas.openxmlformats.org/officeDocument/2006/extended-properties" xmlns:vt="http://schemas.openxmlformats.org/officeDocument/2006/docPropsVTypes">
  <Template>Normal.dotm</Template>
  <TotalTime>2</TotalTime>
  <Pages>2</Pages>
  <Words>297</Words>
  <Characters>1634</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2023-11-18T01:08:00Z</dcterms:created>
  <dcterms:modified xsi:type="dcterms:W3CDTF">2023-11-18T01:11:00Z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