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ANEXO 1. ACTIVIDAD – VERDADERO / FALSO </w:t>
      </w:r>
    </w:p>
    <w:p w:rsidR="00000000" w:rsidDel="00000000" w:rsidP="00000000" w:rsidRDefault="00000000" w:rsidRPr="00000000" w14:paraId="00000002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 acuerdo con los conceptos vistos en el componente formativo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Movimiento y verificación de mercancías y objetos postales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, por favor indique para las siguientes premisas verdadero o falso según corresponda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8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663"/>
        <w:gridCol w:w="1111"/>
        <w:gridCol w:w="1050"/>
        <w:tblGridChange w:id="0">
          <w:tblGrid>
            <w:gridCol w:w="6663"/>
            <w:gridCol w:w="1111"/>
            <w:gridCol w:w="1050"/>
          </w:tblGrid>
        </w:tblGridChange>
      </w:tblGrid>
      <w:tr>
        <w:trPr>
          <w:cantSplit w:val="0"/>
          <w:trHeight w:val="7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PREMISA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Los Sistemas de Gestión de Almacén (SGA) no tienen mucha utilidad en la actualidad.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actividad de preparación de pedidos se conoce con el nombre de </w:t>
            </w:r>
            <w:r w:rsidDel="00000000" w:rsidR="00000000" w:rsidRPr="00000000">
              <w:rPr>
                <w:rFonts w:ascii="Arial" w:cs="Arial" w:eastAsia="Arial" w:hAnsi="Arial"/>
                <w:i w:val="1"/>
                <w:sz w:val="20"/>
                <w:szCs w:val="20"/>
                <w:rtl w:val="0"/>
              </w:rPr>
              <w:t xml:space="preserve">picking.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Para optimizar la calidad y velocidad de los pedidos es necesario tener muy claras y ordenadas las zonas donde se encuentra la mercancía.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modo de transporte aéreo corresponde al modo más utilizado en el comercio internacional y el que mueve mayor cantidad de carga.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embalaje de la mercancía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solo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permite la fácil identificación de la mercancía.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El modo de transporte ferroviario permite realizar un servicio puerta a puerta de manera eficaz.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carretilla de mano utilizada para el cargue y descargue de mercancía es una máquina manual o eléctrica que se eleva ligeramente para facilitar su desplazamiento.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Una empresa, además de gestionar la devolución de sus productos, también puede gestionar la devolución de sus envases y embalajes.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 eficacia en las operaciones de manipulación, almacenamiento y transporte se logra a través de la identificación de la mercancía mediante un lenguaje comprensible para la mayoría de las personas: símbolos gráficos.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 devoluciones que se presentan en las empresas no tienen diferentes causas, por lo tanto, no deben tener un tratamiento distinto.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25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el aprendiz seleccione la opción incorrecta, incluir la siguiente frase: </w:t>
      </w:r>
    </w:p>
    <w:p w:rsidR="00000000" w:rsidDel="00000000" w:rsidP="00000000" w:rsidRDefault="00000000" w:rsidRPr="00000000" w14:paraId="00000028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¡Vuelve a intentarlo!</w:t>
      </w:r>
    </w:p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Revisa la información del componente </w:t>
      </w: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Movimiento y verificación de mercancías y objetos postales.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Cuando acierta: </w:t>
      </w:r>
    </w:p>
    <w:p w:rsidR="00000000" w:rsidDel="00000000" w:rsidP="00000000" w:rsidRDefault="00000000" w:rsidRPr="00000000" w14:paraId="0000002D">
      <w:pPr>
        <w:jc w:val="both"/>
        <w:rPr>
          <w:rFonts w:ascii="Arial" w:cs="Arial" w:eastAsia="Arial" w:hAnsi="Arial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¡Muy bien!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Tienes claros los conceptos vistos.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aconcuadrcula">
    <w:name w:val="Table Grid"/>
    <w:basedOn w:val="Tablanormal"/>
    <w:uiPriority w:val="39"/>
    <w:rsid w:val="00C555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a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0"/>
    <w:pPr>
      <w:spacing w:after="0" w:line="240" w:lineRule="auto"/>
    </w:pPr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q3OfZWWk41PmauHiWtQTnxGo6g==">AMUW2mV8aWnzFP0Y9I7McfZpFQh8CTbg0oy/Ldlv2vYH09gd1N3ay+k7f+Fm5USd/4a57fZNDIFJS1IJoW0B4AHrjsTu+Dsl6lI+0l89RPTw/4wqUGN1k/WEzqQoDwxoyA0zIVU5uIg1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2022-03-28T19:48:00Z</dcterms:created>
  <dc:creator>Paula Diaz</dc:creator>
</cp:coreProperties>
</file>