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Normativas internacionales sobre mercancías peligrosas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Modo de transpone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Denominaciones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Denominación usual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Marítimo.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Código marítimo internacional de mercancías peligrosas.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International Maritime Dangerous Goods (IMDG).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Código IMDG.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Convenio internacional para prevenir la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contaminación por los buques.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International Convention for the prevention of Pollution from Ships.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Marpol 73/78.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Carretera.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Convenio internacional sobre el transporte de mercancías peligrosas por carretera.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Articles Dangereux de Route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(ADR).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Convenio ADR.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Ferroviario.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Reglamento sobre el transporte internacional de mercancías peligrosas por ferrocarril.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Règlement International sur les déchets Dangereux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(RID)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Convenio 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Aéreo.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Reglas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ATA sobre mercancías peligrosas.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IATA Dangerous Goods Regulations.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Reglas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IATA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DGR.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42B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31CB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31CB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cjbokwIHSbpy1g0uyx6jdZRqg==">AMUW2mU1svLtMyG56lLgJ+aD1NXi4V7s0p3sxoiZUy9x7v5Oc7I+ES8sOIpVl8wCeRavSvhLUgeEXqzPwiR5n4nR2S+mBOjGdi6fhTVfhVCifav3ZGHCR/an56M6t/xajybw0M5KAMGA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2022-03-28T19:40:00Z</dcterms:created>
  <dc:creator>Coordinación editorial</dc:creator>
</cp:coreProperties>
</file>