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9799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1220"/>
        <w:gridCol w:w="5263"/>
        <w:gridCol w:w="2088"/>
      </w:tblGrid>
      <w:tr w:rsidR="00CE304B" w14:paraId="744FC28B" w14:textId="77777777" w:rsidTr="00CE30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9" w:type="dxa"/>
            <w:gridSpan w:val="4"/>
          </w:tcPr>
          <w:p w14:paraId="500712FF" w14:textId="68258E6B" w:rsidR="00CE304B" w:rsidRDefault="00CE304B">
            <w:pPr>
              <w:jc w:val="center"/>
              <w:rPr>
                <w:rFonts w:ascii="Calibri" w:eastAsia="Calibri" w:hAnsi="Calibri" w:cs="Calibri"/>
              </w:rPr>
            </w:pPr>
            <w:r w:rsidRPr="0089159A">
              <w:rPr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60288" behindDoc="0" locked="0" layoutInCell="1" allowOverlap="1" wp14:anchorId="2D5C970A" wp14:editId="1C0DA524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E304B" w:rsidRDefault="00CE304B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E304B" w:rsidRDefault="00CE304B">
            <w:pPr>
              <w:rPr>
                <w:rFonts w:ascii="Calibri" w:eastAsia="Calibri" w:hAnsi="Calibri" w:cs="Calibri"/>
                <w:color w:val="ED7D31"/>
              </w:rPr>
            </w:pPr>
            <w:r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E304B" w:rsidRDefault="00CE304B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E304B" w14:paraId="2266E221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9" w:type="dxa"/>
            <w:gridSpan w:val="4"/>
          </w:tcPr>
          <w:p w14:paraId="2AED83D5" w14:textId="77777777" w:rsidR="00CE304B" w:rsidRDefault="00CE304B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E304B" w:rsidRPr="00C0495F" w:rsidRDefault="00CE304B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Las indicaciones, el mensaje de correcto e incorrecto debe estar la redacción en segunda persona.</w:t>
            </w:r>
          </w:p>
          <w:p w14:paraId="1FBDEE44" w14:textId="77777777" w:rsidR="00CE304B" w:rsidRPr="00C0495F" w:rsidRDefault="00CE304B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E304B" w:rsidRPr="00C0495F" w:rsidRDefault="00CE304B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E304B" w:rsidRPr="00C0495F" w:rsidRDefault="00CE304B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Señale en la columna Rta. Correcta con una (x) de acuerdo con las opciones presentadas.</w:t>
            </w:r>
          </w:p>
          <w:p w14:paraId="7778E7D9" w14:textId="3580D3ED" w:rsidR="00CE304B" w:rsidRPr="00C0495F" w:rsidRDefault="00CE304B" w:rsidP="00C0495F">
            <w:pPr>
              <w:pStyle w:val="ListParagraph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C0495F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70 % de respuestas correctas o retroalimentación de mejora si es inferior a este porcentaje.</w:t>
            </w:r>
          </w:p>
          <w:p w14:paraId="74635954" w14:textId="77777777" w:rsidR="00CE304B" w:rsidRDefault="00CE304B">
            <w:pPr>
              <w:spacing w:after="160"/>
              <w:rPr>
                <w:color w:val="00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D96770">
              <w:rPr>
                <w:rFonts w:ascii="Calibri" w:eastAsia="Calibri" w:hAnsi="Calibri" w:cs="Calibri"/>
                <w:b w:val="0"/>
                <w:i/>
                <w:color w:val="595959"/>
                <w:sz w:val="20"/>
                <w:szCs w:val="20"/>
              </w:rPr>
              <w:t>responsive web</w:t>
            </w:r>
            <w:r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</w:tc>
      </w:tr>
      <w:tr w:rsidR="00CE304B" w14:paraId="08A5677D" w14:textId="77777777" w:rsidTr="00CE3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5FFDD425" w14:textId="77777777" w:rsidR="00CE304B" w:rsidRDefault="00CE304B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E304B" w:rsidRDefault="00CE304B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E304B" w:rsidRDefault="00CE304B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351" w:type="dxa"/>
            <w:gridSpan w:val="2"/>
          </w:tcPr>
          <w:p w14:paraId="3FEF5E62" w14:textId="6E7558F3" w:rsidR="00CE304B" w:rsidRDefault="00CE304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i/>
                <w:color w:val="auto"/>
                <w:sz w:val="20"/>
                <w:szCs w:val="20"/>
                <w:shd w:val="clear" w:color="auto" w:fill="D9D9D9" w:themeFill="background1" w:themeFillShade="D9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 xml:space="preserve">Esta actividad le permitirá determinar el grado de apropiación de los contenidos del componente formativo </w:t>
            </w:r>
            <w:r w:rsidRPr="00446C6E">
              <w:rPr>
                <w:bCs/>
                <w:i/>
                <w:color w:val="auto"/>
                <w:sz w:val="20"/>
                <w:szCs w:val="20"/>
                <w:shd w:val="clear" w:color="auto" w:fill="D9D9D9" w:themeFill="background1" w:themeFillShade="D9"/>
              </w:rPr>
              <w:t>Fundamentos socioeconómicos para la transición</w:t>
            </w:r>
          </w:p>
          <w:p w14:paraId="54E06654" w14:textId="77777777" w:rsidR="00CE304B" w:rsidRDefault="00CE304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5D04B07D" w14:textId="77777777" w:rsidR="00CE304B" w:rsidRDefault="00CE304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CE304B" w:rsidRDefault="00CE304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/>
              </w:rPr>
            </w:pPr>
          </w:p>
          <w:p w14:paraId="1EC50D8C" w14:textId="08989A63" w:rsidR="00CE304B" w:rsidRDefault="00CE304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EAAAA"/>
              </w:rPr>
            </w:pPr>
            <w:r>
              <w:rPr>
                <w:rFonts w:ascii="Calibri" w:eastAsia="Calibri" w:hAnsi="Calibri" w:cs="Calibr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="00CE304B" w14:paraId="749E10AF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4C7FDFA8" w14:textId="77777777" w:rsidR="00CE304B" w:rsidRDefault="00CE304B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351" w:type="dxa"/>
            <w:gridSpan w:val="2"/>
            <w:shd w:val="clear" w:color="auto" w:fill="auto"/>
          </w:tcPr>
          <w:p w14:paraId="60B4012D" w14:textId="54285775" w:rsidR="00CE304B" w:rsidRPr="000E3ADC" w:rsidRDefault="00CE304B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FE3BAF">
              <w:rPr>
                <w:rFonts w:ascii="Calibri" w:eastAsia="Calibri" w:hAnsi="Calibri" w:cs="Calibri"/>
                <w:i/>
                <w:color w:val="auto"/>
              </w:rPr>
              <w:t xml:space="preserve">Fundamentos </w:t>
            </w:r>
            <w:r>
              <w:rPr>
                <w:rFonts w:ascii="Calibri" w:eastAsia="Calibri" w:hAnsi="Calibri" w:cs="Calibri"/>
                <w:i/>
                <w:color w:val="auto"/>
              </w:rPr>
              <w:t>Productivos</w:t>
            </w:r>
          </w:p>
        </w:tc>
      </w:tr>
      <w:tr w:rsidR="00CE304B" w14:paraId="15CA5FE7" w14:textId="77777777" w:rsidTr="00CE30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6EF2F4A5" w14:textId="77777777" w:rsidR="00CE304B" w:rsidRDefault="00CE304B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351" w:type="dxa"/>
            <w:gridSpan w:val="2"/>
          </w:tcPr>
          <w:p w14:paraId="79A04D82" w14:textId="58D8D1B9" w:rsidR="00CE304B" w:rsidRPr="000E3ADC" w:rsidRDefault="00CE304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362E05">
              <w:rPr>
                <w:rFonts w:ascii="Calibri" w:eastAsia="Calibri" w:hAnsi="Calibri" w:cs="Calibri"/>
                <w:i/>
                <w:color w:val="auto"/>
              </w:rPr>
              <w:t xml:space="preserve">Evaluar y reforzar el conocimiento adquirido sobre </w:t>
            </w:r>
            <w:r w:rsidRPr="00446C6E">
              <w:rPr>
                <w:bCs/>
                <w:i/>
                <w:color w:val="auto"/>
                <w:sz w:val="20"/>
                <w:szCs w:val="20"/>
                <w:shd w:val="clear" w:color="auto" w:fill="D9D9D9" w:themeFill="background1" w:themeFillShade="D9"/>
              </w:rPr>
              <w:t>Fundamentos socioeconómicos para la transición</w:t>
            </w:r>
          </w:p>
        </w:tc>
      </w:tr>
      <w:tr w:rsidR="00CE304B" w14:paraId="735A0414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0FCDD525" w14:textId="77777777" w:rsidR="00CE304B" w:rsidRDefault="00CE304B" w:rsidP="00F70AE9">
            <w:pPr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351" w:type="dxa"/>
            <w:gridSpan w:val="2"/>
            <w:shd w:val="clear" w:color="auto" w:fill="auto"/>
          </w:tcPr>
          <w:p w14:paraId="6676B711" w14:textId="000F90AB" w:rsidR="00CE304B" w:rsidRPr="000E3ADC" w:rsidRDefault="00CE304B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0E3ADC">
              <w:rPr>
                <w:rFonts w:ascii="Calibri" w:eastAsia="Calibri" w:hAnsi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E304B" w:rsidRPr="00F538B7" w14:paraId="513BC1FE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99" w:type="dxa"/>
            <w:gridSpan w:val="4"/>
            <w:shd w:val="clear" w:color="auto" w:fill="FFE599"/>
          </w:tcPr>
          <w:p w14:paraId="5F5B6B99" w14:textId="77777777" w:rsidR="00CE304B" w:rsidRPr="00F538B7" w:rsidRDefault="00CE304B">
            <w:pPr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PREGUNTAS</w:t>
            </w:r>
          </w:p>
        </w:tc>
      </w:tr>
      <w:tr w:rsidR="00CE304B" w:rsidRPr="00F538B7" w14:paraId="1CB5189C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7C8E1F50" w14:textId="77777777" w:rsidR="00CE304B" w:rsidRPr="00F538B7" w:rsidRDefault="00CE30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</w:t>
            </w:r>
          </w:p>
        </w:tc>
        <w:tc>
          <w:tcPr>
            <w:tcW w:w="5263" w:type="dxa"/>
          </w:tcPr>
          <w:p w14:paraId="73542B6F" w14:textId="5900DED0" w:rsidR="00CE304B" w:rsidRPr="00F538B7" w:rsidRDefault="00CE3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446C6E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transición agroecológica busca únicamente cambiar las prácticas productivas, sin considerar aspectos sociales y culturales.</w:t>
            </w:r>
          </w:p>
        </w:tc>
        <w:tc>
          <w:tcPr>
            <w:tcW w:w="2088" w:type="dxa"/>
          </w:tcPr>
          <w:p w14:paraId="7F132666" w14:textId="77777777" w:rsidR="00CE304B" w:rsidRPr="00F538B7" w:rsidRDefault="00CE304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  <w:t>Rta(s) correcta(s) (x)</w:t>
            </w:r>
          </w:p>
        </w:tc>
      </w:tr>
      <w:tr w:rsidR="00CE304B" w:rsidRPr="00F538B7" w14:paraId="20634E81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6A7DCE65" w14:textId="77777777" w:rsidR="00CE304B" w:rsidRPr="00F538B7" w:rsidRDefault="00CE30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7763DB98" w14:textId="33D23B9D" w:rsidR="00CE304B" w:rsidRPr="00F538B7" w:rsidRDefault="00CE3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4CEC4D6E" w14:textId="1170B4B2" w:rsidR="00CE304B" w:rsidRPr="00F538B7" w:rsidRDefault="00CE304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E304B" w:rsidRPr="00F538B7" w14:paraId="63B8C195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1CC760AA" w14:textId="77777777" w:rsidR="00CE304B" w:rsidRPr="00F538B7" w:rsidRDefault="00CE30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27D41D45" w14:textId="2345D738" w:rsidR="00CE304B" w:rsidRPr="00F538B7" w:rsidRDefault="00CE3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0F73ACCC" w14:textId="2BD0D00E" w:rsidR="00CE304B" w:rsidRPr="00F538B7" w:rsidRDefault="00CE304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E304B" w:rsidRPr="00F538B7" w14:paraId="028C15D9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00D08B54" w14:textId="77777777" w:rsidR="00CE304B" w:rsidRPr="00F538B7" w:rsidRDefault="00CE304B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5B7DC219" w14:textId="2A3E51BB" w:rsidR="00CE304B" w:rsidRPr="00F538B7" w:rsidRDefault="00CE304B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CE304B" w:rsidRPr="00F538B7" w14:paraId="62EB9264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532EDFD3" w14:textId="77777777" w:rsidR="00CE304B" w:rsidRPr="00F538B7" w:rsidRDefault="00CE304B" w:rsidP="00F70AE9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484D921F" w14:textId="66099AF0" w:rsidR="00CE304B" w:rsidRPr="00F538B7" w:rsidRDefault="00CE304B" w:rsidP="00F70A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E304B" w:rsidRPr="00F538B7" w14:paraId="19481242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025BEC16" w14:textId="77777777" w:rsidR="00CE304B" w:rsidRPr="00F538B7" w:rsidRDefault="00CE30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2</w:t>
            </w:r>
          </w:p>
        </w:tc>
        <w:tc>
          <w:tcPr>
            <w:tcW w:w="7351" w:type="dxa"/>
            <w:gridSpan w:val="2"/>
            <w:shd w:val="clear" w:color="auto" w:fill="FBE5D5"/>
          </w:tcPr>
          <w:p w14:paraId="1B7CAEBC" w14:textId="1CE2CAED" w:rsidR="00CE304B" w:rsidRPr="00F538B7" w:rsidRDefault="00CE304B" w:rsidP="00782B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sistema agroalimentario dominante favorece la concentración de capital en pocas manos.</w:t>
            </w:r>
          </w:p>
        </w:tc>
      </w:tr>
      <w:tr w:rsidR="00CE304B" w:rsidRPr="00F538B7" w14:paraId="2DB04320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7CF11BAE" w14:textId="77777777" w:rsidR="00CE304B" w:rsidRPr="00F538B7" w:rsidRDefault="00CE30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auto"/>
          </w:tcPr>
          <w:p w14:paraId="48BFDAC5" w14:textId="29C7FED9" w:rsidR="00CE304B" w:rsidRPr="00F538B7" w:rsidRDefault="00CE30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auto"/>
          </w:tcPr>
          <w:p w14:paraId="03389B73" w14:textId="787BFD21" w:rsidR="00CE304B" w:rsidRPr="00F538B7" w:rsidRDefault="00CE304B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E304B" w:rsidRPr="00F538B7" w14:paraId="442AF42F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5E0BECE1" w14:textId="77777777" w:rsidR="00CE304B" w:rsidRPr="00F538B7" w:rsidRDefault="00CE304B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483" w:type="dxa"/>
            <w:gridSpan w:val="2"/>
          </w:tcPr>
          <w:p w14:paraId="0A8B64CF" w14:textId="4131AD09" w:rsidR="00CE304B" w:rsidRPr="00F538B7" w:rsidRDefault="00CE30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</w:tcPr>
          <w:p w14:paraId="20A71059" w14:textId="438FA364" w:rsidR="00CE304B" w:rsidRPr="00F538B7" w:rsidRDefault="00CE304B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E304B" w:rsidRPr="00F538B7" w14:paraId="6515F4D6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04BBBE2C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317B5FC6" w14:textId="495E495F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CE304B" w:rsidRPr="00F538B7" w14:paraId="0F88F984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165EA1A4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476BD9A2" w14:textId="181B428F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E304B" w:rsidRPr="00F538B7" w14:paraId="18E34A67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14D8F261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Pregunta 3</w:t>
            </w:r>
          </w:p>
        </w:tc>
        <w:tc>
          <w:tcPr>
            <w:tcW w:w="7351" w:type="dxa"/>
            <w:gridSpan w:val="2"/>
          </w:tcPr>
          <w:p w14:paraId="61D73A45" w14:textId="05E1185F" w:rsidR="00CE304B" w:rsidRPr="00CE304B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Los monocultivos fortalecen la resiliencia y la soberanía alimentaria de las comunidades rurales.</w:t>
            </w:r>
          </w:p>
        </w:tc>
      </w:tr>
      <w:tr w:rsidR="00CE304B" w:rsidRPr="00F538B7" w14:paraId="099D6702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62AA0305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483" w:type="dxa"/>
            <w:gridSpan w:val="2"/>
          </w:tcPr>
          <w:p w14:paraId="2F42BA19" w14:textId="2B0B8436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</w:tcPr>
          <w:p w14:paraId="2DEA1E69" w14:textId="2770B5ED" w:rsidR="00CE304B" w:rsidRPr="00F538B7" w:rsidRDefault="00CE304B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E304B" w:rsidRPr="00F538B7" w14:paraId="34603C0F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7685686D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auto"/>
          </w:tcPr>
          <w:p w14:paraId="77042058" w14:textId="788896BB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auto"/>
          </w:tcPr>
          <w:p w14:paraId="7459CED2" w14:textId="2A000E87" w:rsidR="00CE304B" w:rsidRPr="00F538B7" w:rsidRDefault="00CE304B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E304B" w:rsidRPr="00F538B7" w14:paraId="5C1A1703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6C118FC8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78C5ECCB" w14:textId="3656E819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socioeconómicos para la transición.</w:t>
            </w:r>
          </w:p>
        </w:tc>
      </w:tr>
      <w:tr w:rsidR="00CE304B" w:rsidRPr="00F538B7" w14:paraId="68167769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6FF1C440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2902B640" w14:textId="3C485668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E304B" w:rsidRPr="00F538B7" w14:paraId="7029FEF9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40EFDFE5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4</w:t>
            </w:r>
          </w:p>
        </w:tc>
        <w:tc>
          <w:tcPr>
            <w:tcW w:w="7351" w:type="dxa"/>
            <w:gridSpan w:val="2"/>
            <w:shd w:val="clear" w:color="auto" w:fill="FBE5D5"/>
          </w:tcPr>
          <w:p w14:paraId="4D6D2B7B" w14:textId="2A15B3DA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fragmentación del tejido social se relaciona con la pérdida de vínculos locales y la dependencia de mercados externos.</w:t>
            </w:r>
          </w:p>
        </w:tc>
      </w:tr>
      <w:tr w:rsidR="00CE304B" w:rsidRPr="00F538B7" w14:paraId="5B5EF97B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162788E0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05BABAF1" w14:textId="55D08D3E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67A2608D" w14:textId="599A2609" w:rsidR="00CE304B" w:rsidRPr="00F538B7" w:rsidRDefault="00CE304B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E304B" w:rsidRPr="00F538B7" w14:paraId="4FFE2692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6595D1FA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3FA54C0C" w14:textId="3CC778A3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4363353C" w14:textId="1DA18C90" w:rsidR="00CE304B" w:rsidRPr="00F538B7" w:rsidRDefault="00CE304B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E304B" w:rsidRPr="00F538B7" w14:paraId="2BEF3AC5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0E913A82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747E4A24" w14:textId="73DBE441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CE304B" w:rsidRPr="00F538B7" w14:paraId="1B198E26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13AE5C6E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231C98AB" w14:textId="29A0E927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E304B" w:rsidRPr="00F538B7" w14:paraId="7DFA247B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3E6EF9DB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5</w:t>
            </w:r>
          </w:p>
        </w:tc>
        <w:tc>
          <w:tcPr>
            <w:tcW w:w="7351" w:type="dxa"/>
            <w:gridSpan w:val="2"/>
          </w:tcPr>
          <w:p w14:paraId="42742D49" w14:textId="1ACB6B3E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pérdida de memoria biocultural implica la desaparición de saberes ancestrales y prácticas agrícolas tradicionales.</w:t>
            </w:r>
          </w:p>
        </w:tc>
      </w:tr>
      <w:tr w:rsidR="00CE304B" w:rsidRPr="00F538B7" w14:paraId="28F8479A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00567028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0F19708C" w14:textId="4B6BDB62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5DFF5F4F" w14:textId="41B2F1D3" w:rsidR="00CE304B" w:rsidRPr="00F538B7" w:rsidRDefault="00CE304B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E304B" w:rsidRPr="00F538B7" w14:paraId="657F3D76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57DFAC32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3ADDDE6B" w14:textId="03CC1419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6CAA8A0E" w14:textId="593AD966" w:rsidR="00CE304B" w:rsidRPr="00F538B7" w:rsidRDefault="00CE304B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E304B" w:rsidRPr="00F538B7" w14:paraId="19CA660C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5952B1DF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547EA69B" w14:textId="6CF2A3C8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socioeconómicos para la transición</w:t>
            </w:r>
          </w:p>
        </w:tc>
      </w:tr>
      <w:tr w:rsidR="00CE304B" w:rsidRPr="00F538B7" w14:paraId="4CA120E3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04B996C1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5ED92D06" w14:textId="42A2928A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E304B" w:rsidRPr="00F538B7" w14:paraId="664A85FC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5C7778E8" w14:textId="5B9F316A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6</w:t>
            </w:r>
          </w:p>
        </w:tc>
        <w:tc>
          <w:tcPr>
            <w:tcW w:w="7351" w:type="dxa"/>
            <w:gridSpan w:val="2"/>
            <w:shd w:val="clear" w:color="auto" w:fill="FBE5D5"/>
          </w:tcPr>
          <w:p w14:paraId="6E665151" w14:textId="134F4E6C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Las relaciones de dominación en territorios rurales pueden ser económicas, culturales, epistémicas y de género.</w:t>
            </w:r>
          </w:p>
        </w:tc>
      </w:tr>
      <w:tr w:rsidR="00CE304B" w:rsidRPr="00F538B7" w14:paraId="761A02F1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54031499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153A1BAF" w14:textId="747A2CEF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7144C3D7" w14:textId="399D1DA2" w:rsidR="00CE304B" w:rsidRPr="00F538B7" w:rsidRDefault="00CE304B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E304B" w:rsidRPr="00F538B7" w14:paraId="3057D19B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5EEFD0DC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312C64C2" w14:textId="0E1AD20D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0F224258" w14:textId="52A25B80" w:rsidR="00CE304B" w:rsidRPr="00F538B7" w:rsidRDefault="00CE304B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E304B" w:rsidRPr="00F538B7" w14:paraId="1EEB5212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3C855C1E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632BB5D3" w14:textId="472BC039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CE304B" w:rsidRPr="00F538B7" w14:paraId="3A508D92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44B83E07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6B3062F0" w14:textId="330680FE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E304B" w:rsidRPr="00F538B7" w14:paraId="02DC91A3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6151D01D" w14:textId="3BC09AE1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7</w:t>
            </w:r>
          </w:p>
        </w:tc>
        <w:tc>
          <w:tcPr>
            <w:tcW w:w="7351" w:type="dxa"/>
            <w:gridSpan w:val="2"/>
          </w:tcPr>
          <w:p w14:paraId="1AA9E5AB" w14:textId="3FDE9281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La fragmentación generacional se manifiesta en la migración juvenil y la ruptura en la transmisión de saberes.</w:t>
            </w:r>
          </w:p>
        </w:tc>
      </w:tr>
      <w:tr w:rsidR="00CE304B" w:rsidRPr="00F538B7" w14:paraId="6C1AF91C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62CBDCC0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41E096FB" w14:textId="35F8EEB3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600CF4DF" w14:textId="4B2ABCBC" w:rsidR="00CE304B" w:rsidRPr="00F538B7" w:rsidRDefault="00CE304B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E304B" w:rsidRPr="00F538B7" w14:paraId="3AD917A3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61D388CD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0B341464" w14:textId="29EA28CA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67FEF3BA" w14:textId="65D22D8F" w:rsidR="00CE304B" w:rsidRPr="00F538B7" w:rsidRDefault="00CE304B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E304B" w:rsidRPr="00F538B7" w14:paraId="45B06482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356CA5BA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241E9E6C" w14:textId="172B861B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CE304B" w:rsidRPr="00F538B7" w14:paraId="29071262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1B0CAFD0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50C17735" w14:textId="3F198F76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E304B" w:rsidRPr="00F538B7" w14:paraId="3E7297B0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4A75105D" w14:textId="471587AE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8</w:t>
            </w:r>
          </w:p>
        </w:tc>
        <w:tc>
          <w:tcPr>
            <w:tcW w:w="7351" w:type="dxa"/>
            <w:gridSpan w:val="2"/>
            <w:shd w:val="clear" w:color="auto" w:fill="FBE5D5"/>
          </w:tcPr>
          <w:p w14:paraId="08018C5E" w14:textId="24E9D96C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  <w:t>El diagnóstico socioeconómico permite identificar vulnerabilidades y potencialidades para la transición agroecológica.</w:t>
            </w:r>
          </w:p>
        </w:tc>
      </w:tr>
      <w:tr w:rsidR="00CE304B" w:rsidRPr="00F538B7" w14:paraId="6FB46BB0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4D3214DA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1556C7D7" w14:textId="3C8419F5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3D3D3203" w14:textId="4E6770AE" w:rsidR="00CE304B" w:rsidRPr="00F538B7" w:rsidRDefault="00CE304B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E304B" w:rsidRPr="00F538B7" w14:paraId="3107D786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77942D87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0AA39825" w14:textId="32E48E2B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41107FE9" w14:textId="78ED9B30" w:rsidR="00CE304B" w:rsidRPr="00F538B7" w:rsidRDefault="00CE304B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E304B" w:rsidRPr="00F538B7" w14:paraId="54E2E5D5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14E40D45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0BDDBE87" w14:textId="7BC4808A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CE304B" w:rsidRPr="00F538B7" w14:paraId="0CD58276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1F97FD57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24DEA7BB" w14:textId="44F8BC9E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E304B" w:rsidRPr="00F538B7" w14:paraId="36362F1E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5FFFC194" w14:textId="0D986116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lastRenderedPageBreak/>
              <w:t>Pregunta 9</w:t>
            </w:r>
          </w:p>
        </w:tc>
        <w:tc>
          <w:tcPr>
            <w:tcW w:w="7351" w:type="dxa"/>
            <w:gridSpan w:val="2"/>
          </w:tcPr>
          <w:p w14:paraId="71B24040" w14:textId="3E39BC0A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El IPPTA integra el diagnóstico socioeconómico como uno de sus componentes esenciales.</w:t>
            </w:r>
            <w:r w:rsidRPr="00CE304B">
              <w:rPr>
                <w:color w:val="auto"/>
              </w:rPr>
              <w:t xml:space="preserve"> </w:t>
            </w:r>
            <w:r w:rsidRPr="00CE304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El IPPTA integra el diagnóstico socioeconómico como uno de sus componentes esenciales.</w:t>
            </w:r>
          </w:p>
        </w:tc>
      </w:tr>
      <w:tr w:rsidR="00CE304B" w:rsidRPr="00F538B7" w14:paraId="0D366D42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69DD5B4D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6C048551" w14:textId="052ECA03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047B674B" w14:textId="072D3563" w:rsidR="00CE304B" w:rsidRPr="00F538B7" w:rsidRDefault="00CE304B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E304B" w:rsidRPr="00F538B7" w14:paraId="03445BF4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7C0A3B9D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2F9DF08B" w14:textId="6F088604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5921DDBC" w14:textId="53C6A823" w:rsidR="00CE304B" w:rsidRPr="00F538B7" w:rsidRDefault="00CE304B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E304B" w:rsidRPr="00F538B7" w14:paraId="5628C909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70884D45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380941A9" w14:textId="350A38BF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CE304B" w:rsidRPr="00F538B7" w14:paraId="2DA70B9B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75B53389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438703BC" w14:textId="4E31AEBE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CE304B" w:rsidRPr="00F538B7" w14:paraId="0CF97622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725ABC76" w14:textId="3598DB6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Pregunta 10</w:t>
            </w:r>
          </w:p>
        </w:tc>
        <w:tc>
          <w:tcPr>
            <w:tcW w:w="7351" w:type="dxa"/>
            <w:gridSpan w:val="2"/>
            <w:shd w:val="clear" w:color="auto" w:fill="FBE5D5"/>
          </w:tcPr>
          <w:p w14:paraId="1DFCF96C" w14:textId="43A160DD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bCs/>
                <w:color w:val="auto"/>
                <w:sz w:val="20"/>
                <w:szCs w:val="20"/>
              </w:rPr>
              <w:t>Las economías para la vida se basan en la acumulación de capital y la maximización de ganancias.</w:t>
            </w:r>
          </w:p>
        </w:tc>
      </w:tr>
      <w:tr w:rsidR="00CE304B" w:rsidRPr="00F538B7" w14:paraId="6F04B43E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  <w:shd w:val="clear" w:color="auto" w:fill="auto"/>
          </w:tcPr>
          <w:p w14:paraId="5935BE48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7DD1B861" w14:textId="642FC370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719B547A" w14:textId="4D538557" w:rsidR="00CE304B" w:rsidRPr="00F538B7" w:rsidRDefault="00CE304B" w:rsidP="00B2480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</w:p>
        </w:tc>
      </w:tr>
      <w:tr w:rsidR="00CE304B" w:rsidRPr="00F538B7" w14:paraId="234B58A3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14:paraId="2283AC55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483" w:type="dxa"/>
            <w:gridSpan w:val="2"/>
            <w:shd w:val="clear" w:color="auto" w:fill="FFFFFF"/>
          </w:tcPr>
          <w:p w14:paraId="3076EB75" w14:textId="1769878A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  <w:tc>
          <w:tcPr>
            <w:tcW w:w="2088" w:type="dxa"/>
            <w:shd w:val="clear" w:color="auto" w:fill="FFFFFF"/>
          </w:tcPr>
          <w:p w14:paraId="5D33B248" w14:textId="182F3ECA" w:rsidR="00CE304B" w:rsidRPr="00F538B7" w:rsidRDefault="00CE304B" w:rsidP="00B2480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X</w:t>
            </w:r>
          </w:p>
        </w:tc>
      </w:tr>
      <w:tr w:rsidR="00CE304B" w:rsidRPr="00F538B7" w14:paraId="6D16765F" w14:textId="77777777" w:rsidTr="00CE30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</w:tcPr>
          <w:p w14:paraId="1C942EF2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7BD9C98F" w14:textId="46818988" w:rsidR="00CE304B" w:rsidRPr="00F538B7" w:rsidRDefault="00CE304B" w:rsidP="00B248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Tiene un claro entendimiento sobre</w:t>
            </w:r>
            <w:r>
              <w:t xml:space="preserve"> </w:t>
            </w:r>
            <w:r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.</w:t>
            </w:r>
          </w:p>
        </w:tc>
      </w:tr>
      <w:tr w:rsidR="00CE304B" w:rsidRPr="00F538B7" w14:paraId="291A1FBC" w14:textId="77777777" w:rsidTr="00CE304B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gridSpan w:val="2"/>
            <w:shd w:val="clear" w:color="auto" w:fill="FBE5D5"/>
          </w:tcPr>
          <w:p w14:paraId="11C80B6F" w14:textId="77777777" w:rsidR="00CE304B" w:rsidRPr="00F538B7" w:rsidRDefault="00CE304B" w:rsidP="00B24802">
            <w:pPr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351" w:type="dxa"/>
            <w:gridSpan w:val="2"/>
            <w:shd w:val="clear" w:color="auto" w:fill="FFFFFF"/>
          </w:tcPr>
          <w:p w14:paraId="426B4A9C" w14:textId="64A59BDD" w:rsidR="00CE304B" w:rsidRPr="00F538B7" w:rsidRDefault="00CE304B" w:rsidP="00B248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1222"/>
        <w:gridCol w:w="5261"/>
        <w:gridCol w:w="2088"/>
        <w:gridCol w:w="355"/>
      </w:tblGrid>
      <w:tr w:rsidR="009921BA" w:rsidRPr="00F538B7" w14:paraId="3032382F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2F10C119" w:rsidR="009921BA" w:rsidRPr="00F538B7" w:rsidRDefault="00CE304B" w:rsidP="00DC691D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economía circular busca reducir la dependencia de insumos externos y cerrar ciclos de materiales.</w:t>
            </w:r>
          </w:p>
        </w:tc>
      </w:tr>
      <w:tr w:rsidR="009921BA" w:rsidRPr="00F538B7" w14:paraId="7364B266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11A22D7B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285FC6C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D1BED20" w14:textId="6ED4F0F9" w:rsidR="009921BA" w:rsidRPr="00F538B7" w:rsidRDefault="005153E9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9921BA" w:rsidRPr="00F538B7" w14:paraId="53B78634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791CE1B8" w14:textId="77777777" w:rsidR="009921BA" w:rsidRPr="00F538B7" w:rsidRDefault="009921BA" w:rsidP="00DC691D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1931A928" w:rsidR="009921BA" w:rsidRPr="00F538B7" w:rsidRDefault="009921BA" w:rsidP="00DC691D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90B5B39" w14:textId="207620CC" w:rsidR="009921BA" w:rsidRPr="00F538B7" w:rsidRDefault="009921BA" w:rsidP="00DC691D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4CA5DFD3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</w:tcPr>
          <w:p w14:paraId="42A45354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213328FE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="00446C6E">
              <w:rPr>
                <w:rFonts w:asciiTheme="majorHAnsi" w:eastAsia="Calibri" w:hAnsiTheme="majorHAnsi" w:cstheme="majorHAnsi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3589F761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497E1206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BBE5059" w:rsidR="00B24802" w:rsidRPr="00F538B7" w:rsidRDefault="00CE304B" w:rsidP="00B24802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Los sistemas participativos de garantías (SPG) fortalecen la autonomía comunitaria y la confianza entre productores y consumidores.</w:t>
            </w:r>
          </w:p>
        </w:tc>
      </w:tr>
      <w:tr w:rsidR="00B24802" w:rsidRPr="00F538B7" w14:paraId="18AC1DD0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04864D05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42B85A5C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A5E76E" w14:textId="3B70B88A" w:rsidR="00B24802" w:rsidRPr="00F538B7" w:rsidRDefault="008F129C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33BECFBE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1E00668B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356F5D34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4EB58E9" w14:textId="6E645AF3" w:rsidR="00B24802" w:rsidRPr="00F538B7" w:rsidRDefault="00B24802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55F84E22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</w:tcPr>
          <w:p w14:paraId="3A34717C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0C576F4E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="00446C6E">
              <w:rPr>
                <w:rFonts w:asciiTheme="majorHAnsi" w:eastAsia="Calibri" w:hAnsiTheme="majorHAnsi" w:cstheme="majorHAnsi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7ED9180C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74A14AFF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69F16AA5" w:rsidR="00B24802" w:rsidRPr="00F538B7" w:rsidRDefault="00CE304B" w:rsidP="00B24802">
            <w:pPr>
              <w:rPr>
                <w:rFonts w:asciiTheme="majorHAnsi" w:eastAsia="Calibri" w:hAnsiTheme="majorHAnsi" w:cstheme="majorHAnsi"/>
                <w:b/>
                <w:bCs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 gestión del conocimiento agroecológico se basa en la transferencia unidireccional de saberes técnicos hacia las comunidades.</w:t>
            </w:r>
          </w:p>
        </w:tc>
      </w:tr>
      <w:tr w:rsidR="00B24802" w:rsidRPr="00F538B7" w14:paraId="66F869E2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6AC70E6D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1155CDE5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20A220" w14:textId="0F119564" w:rsidR="00B24802" w:rsidRPr="00F538B7" w:rsidRDefault="00B24802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09EAF596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6302EF25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23C87367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9D77687" w14:textId="25C4EF00" w:rsidR="00B24802" w:rsidRPr="00F538B7" w:rsidRDefault="006635C4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12F6CDC0" w14:textId="77777777" w:rsidTr="009921BA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5C000C82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="00446C6E">
              <w:rPr>
                <w:rFonts w:asciiTheme="majorHAnsi" w:eastAsia="Calibri" w:hAnsiTheme="majorHAnsi" w:cstheme="majorHAnsi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7213A227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57BA6AC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6443B03D" w:rsidR="00B24802" w:rsidRPr="00F538B7" w:rsidRDefault="00CE304B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bCs/>
                <w:sz w:val="20"/>
                <w:szCs w:val="20"/>
              </w:rPr>
              <w:t>La apertura epistémica reconoce la validez de saberes ancestrales y campesinos junto con los conocimientos científicos.</w:t>
            </w:r>
          </w:p>
        </w:tc>
        <w:tc>
          <w:tcPr>
            <w:tcW w:w="360" w:type="dxa"/>
          </w:tcPr>
          <w:p w14:paraId="104B0E23" w14:textId="60BB1AC4" w:rsidR="00B24802" w:rsidRPr="00F538B7" w:rsidRDefault="00B24802"/>
        </w:tc>
      </w:tr>
      <w:tr w:rsidR="00B24802" w:rsidRPr="00F538B7" w14:paraId="3B350F66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2A6A093E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08ECCC1E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489F2D2" w14:textId="5987C48B" w:rsidR="00B24802" w:rsidRPr="00F538B7" w:rsidRDefault="00CE304B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19856D6D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7D9C7CDD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F5F5C28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7F6D2731" w14:textId="3EFBB627" w:rsidR="00B24802" w:rsidRPr="00F538B7" w:rsidRDefault="00B24802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6260C21D" w14:textId="77777777" w:rsidTr="009921BA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2AF027FE" w:rsidR="00B24802" w:rsidRPr="00B24802" w:rsidRDefault="00B24802" w:rsidP="00B24802">
            <w:r w:rsidRPr="00B24802">
              <w:t xml:space="preserve">Excelente trabajo. Tiene un claro entendimiento sobre </w:t>
            </w:r>
            <w:r w:rsidR="00446C6E">
              <w:t>Fundamentos socioeconómicos para la transición</w:t>
            </w:r>
          </w:p>
        </w:tc>
      </w:tr>
      <w:tr w:rsidR="00B24802" w:rsidRPr="00F538B7" w14:paraId="50E0B9C4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3B313AFB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1D4B5DD" w:rsidR="00B24802" w:rsidRPr="00F538B7" w:rsidRDefault="00CE304B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El enfoque campesino a campesino promueve el intercambio de experiencias prácticas entre familias rurales.</w:t>
            </w:r>
          </w:p>
        </w:tc>
      </w:tr>
      <w:tr w:rsidR="00B24802" w:rsidRPr="00F538B7" w14:paraId="194EF9E6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6AB07DA2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085F72C1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F44B134" w14:textId="3F755D47" w:rsidR="00B24802" w:rsidRPr="00F538B7" w:rsidRDefault="005153E9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7C6598A8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05D5B683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50C21248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A31325A" w14:textId="42512E98" w:rsidR="00B24802" w:rsidRPr="00F538B7" w:rsidRDefault="00B24802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137BA792" w14:textId="77777777" w:rsidTr="002E46FB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4044288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="00446C6E">
              <w:rPr>
                <w:rFonts w:asciiTheme="majorHAnsi" w:eastAsia="Calibri" w:hAnsiTheme="majorHAnsi" w:cstheme="majorHAnsi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0D72975D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693244A5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4DD7B8EF" w:rsidR="00B24802" w:rsidRPr="00F538B7" w:rsidRDefault="00CE304B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organización colectiva es fundamental para sostener la vida comunitaria y la autonomía territorial.</w:t>
            </w:r>
          </w:p>
        </w:tc>
      </w:tr>
      <w:tr w:rsidR="00B24802" w:rsidRPr="00F538B7" w14:paraId="56C426A3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488060F5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11D38AC1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A2E8C2B" w14:textId="740DFFFA" w:rsidR="00B24802" w:rsidRPr="00F538B7" w:rsidRDefault="00CE304B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2B70C3E1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3E0B1A99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B7EBB11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6E006C7" w14:textId="37F95A67" w:rsidR="00B24802" w:rsidRPr="00F538B7" w:rsidRDefault="00B24802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6849020A" w14:textId="77777777" w:rsidTr="003605E9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47DB7AC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="00446C6E">
              <w:rPr>
                <w:rFonts w:asciiTheme="majorHAnsi" w:eastAsia="Calibri" w:hAnsiTheme="majorHAnsi" w:cstheme="majorHAnsi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3BAB07B1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4DEFB849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7A9D1984" w:rsidR="00B24802" w:rsidRPr="00F538B7" w:rsidRDefault="00CE304B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espacios de convergencia permiten articular actores diversos en torno a la agroecología.</w:t>
            </w:r>
          </w:p>
        </w:tc>
      </w:tr>
      <w:tr w:rsidR="00B24802" w:rsidRPr="00F538B7" w14:paraId="71E0805B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007D9B78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4A020B05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46ACE52B" w14:textId="7A7000A3" w:rsidR="00B24802" w:rsidRPr="00F538B7" w:rsidRDefault="005153E9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79A5F800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4CA905D0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4B6D99C7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993E431" w14:textId="0E695860" w:rsidR="00B24802" w:rsidRPr="00F538B7" w:rsidRDefault="00B24802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68BE72F9" w14:textId="77777777" w:rsidTr="002E46FB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46B154C3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="00446C6E">
              <w:rPr>
                <w:rFonts w:asciiTheme="majorHAnsi" w:eastAsia="Calibri" w:hAnsiTheme="majorHAnsi" w:cstheme="majorHAnsi"/>
                <w:sz w:val="20"/>
                <w:szCs w:val="20"/>
              </w:rPr>
              <w:t>Fundamentos socioeconómicos para la transición</w:t>
            </w:r>
            <w:r w:rsidR="00DF4731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00A4F366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6DC135A0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2C91CF7D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41C9DB27" w:rsidR="00B24802" w:rsidRPr="00F538B7" w:rsidRDefault="00CE304B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La complementariedad comunitaria busca reducir la dependencia externa mediante el intercambio de recursos y saberes.</w:t>
            </w:r>
          </w:p>
        </w:tc>
      </w:tr>
      <w:tr w:rsidR="00B24802" w:rsidRPr="00F538B7" w14:paraId="24A2C86E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70D1B1EB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02E2614A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20054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152AC3B6" w14:textId="3E327979" w:rsidR="00B24802" w:rsidRPr="00F538B7" w:rsidRDefault="008E5D7E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57B20FA5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13EFD6FD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41BAFAFF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20054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61BE877" w14:textId="316ADCF1" w:rsidR="00B24802" w:rsidRPr="00F538B7" w:rsidRDefault="00B24802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4B49E175" w14:textId="77777777" w:rsidTr="002E46FB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3D3BDB6F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="00446C6E">
              <w:rPr>
                <w:rFonts w:asciiTheme="majorHAnsi" w:eastAsia="Calibri" w:hAnsiTheme="majorHAnsi" w:cstheme="majorHAnsi"/>
                <w:sz w:val="20"/>
                <w:szCs w:val="20"/>
              </w:rPr>
              <w:t>Fundamentos socioeconómicos para la transición</w:t>
            </w:r>
            <w:r w:rsidR="0020054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3BE2FBD1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1E35B95F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1C8AF934" w:rsidR="00B24802" w:rsidRPr="00F538B7" w:rsidRDefault="00CE304B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El enfoque de género en la agroecología promueve la participación equitativa de mujeres y hombres en la toma de decisiones.</w:t>
            </w:r>
          </w:p>
        </w:tc>
      </w:tr>
      <w:tr w:rsidR="00B24802" w:rsidRPr="00F538B7" w14:paraId="1852A647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0E152896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3C5E1727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20054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37B43B45" w14:textId="5F3B136D" w:rsidR="00B24802" w:rsidRPr="00F538B7" w:rsidRDefault="005153E9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1E86B579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35C1ADF6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00AB073E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20054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21463C5E" w14:textId="1798E2A2" w:rsidR="00B24802" w:rsidRPr="00F538B7" w:rsidRDefault="00B24802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60444DE6" w14:textId="77777777" w:rsidTr="002E46FB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C41815B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="00446C6E">
              <w:rPr>
                <w:rFonts w:asciiTheme="majorHAnsi" w:eastAsia="Calibri" w:hAnsiTheme="majorHAnsi" w:cstheme="majorHAnsi"/>
                <w:sz w:val="20"/>
                <w:szCs w:val="20"/>
              </w:rPr>
              <w:t>Fundamentos socioeconómicos para la transición</w:t>
            </w:r>
            <w:r w:rsidR="0020054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00631069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  <w:tr w:rsidR="00B24802" w:rsidRPr="00F538B7" w14:paraId="0F0AF845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64A44BFC" w:rsidR="00B24802" w:rsidRPr="00F538B7" w:rsidRDefault="00CE304B" w:rsidP="00B24802">
            <w:pPr>
              <w:rPr>
                <w:rFonts w:asciiTheme="majorHAnsi" w:eastAsia="Calibri" w:hAnsiTheme="majorHAnsi" w:cstheme="majorHAnsi"/>
                <w:color w:val="AEAAAA"/>
                <w:sz w:val="20"/>
                <w:szCs w:val="20"/>
              </w:rPr>
            </w:pPr>
            <w:r w:rsidRPr="00CE304B">
              <w:rPr>
                <w:rFonts w:asciiTheme="majorHAnsi" w:eastAsia="Calibri" w:hAnsiTheme="majorHAnsi" w:cstheme="majorHAnsi"/>
                <w:b/>
                <w:sz w:val="20"/>
                <w:szCs w:val="20"/>
              </w:rPr>
              <w:t>Los mapas sociales solo representan la distribución física del territorio, sin incluir aspectos culturales o recreativos.</w:t>
            </w:r>
          </w:p>
        </w:tc>
      </w:tr>
      <w:tr w:rsidR="00B24802" w:rsidRPr="00F538B7" w14:paraId="6D9EEA78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32E32C36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380C63DD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Verdadero</w:t>
            </w:r>
            <w:r w:rsidR="0020054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08DBA6E9" w14:textId="31D85623" w:rsidR="00B24802" w:rsidRPr="00F538B7" w:rsidRDefault="00B24802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</w:p>
        </w:tc>
      </w:tr>
      <w:tr w:rsidR="00B24802" w:rsidRPr="00F538B7" w14:paraId="79A10AE3" w14:textId="77777777" w:rsidTr="00DC691D">
        <w:trPr>
          <w:gridAfter w:val="1"/>
          <w:wAfter w:w="360" w:type="dxa"/>
          <w:trHeight w:val="220"/>
        </w:trPr>
        <w:tc>
          <w:tcPr>
            <w:tcW w:w="1267" w:type="dxa"/>
          </w:tcPr>
          <w:p w14:paraId="0495F5C8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4E5FF87D" w:rsidR="00B24802" w:rsidRPr="00F538B7" w:rsidRDefault="00B24802" w:rsidP="00B24802">
            <w:pPr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Falso</w:t>
            </w:r>
            <w:r w:rsidR="0020054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  <w:tc>
          <w:tcPr>
            <w:tcW w:w="2160" w:type="dxa"/>
            <w:shd w:val="clear" w:color="auto" w:fill="FFFFFF"/>
          </w:tcPr>
          <w:p w14:paraId="6BBE2BBE" w14:textId="536D4997" w:rsidR="00B24802" w:rsidRPr="00F538B7" w:rsidRDefault="005153E9" w:rsidP="00B24802">
            <w:pPr>
              <w:widowControl w:val="0"/>
              <w:rPr>
                <w:rFonts w:asciiTheme="majorHAnsi" w:eastAsia="Calibri" w:hAnsiTheme="majorHAnsi" w:cstheme="majorHAnsi"/>
                <w:sz w:val="20"/>
                <w:szCs w:val="20"/>
              </w:rPr>
            </w:pPr>
            <w:r>
              <w:rPr>
                <w:rFonts w:asciiTheme="majorHAnsi" w:eastAsia="Calibri" w:hAnsiTheme="majorHAnsi" w:cstheme="majorHAnsi"/>
                <w:sz w:val="20"/>
                <w:szCs w:val="20"/>
              </w:rPr>
              <w:t>X</w:t>
            </w:r>
          </w:p>
        </w:tc>
      </w:tr>
      <w:tr w:rsidR="00B24802" w:rsidRPr="00F538B7" w14:paraId="64478A66" w14:textId="77777777" w:rsidTr="002E46FB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52CCC021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 xml:space="preserve">Excelente trabajo. </w:t>
            </w:r>
            <w:r w:rsidRPr="00142509">
              <w:rPr>
                <w:rFonts w:asciiTheme="majorHAnsi" w:eastAsia="Calibri" w:hAnsiTheme="majorHAnsi" w:cstheme="majorHAnsi"/>
                <w:sz w:val="20"/>
                <w:szCs w:val="20"/>
              </w:rPr>
              <w:t>Tiene un claro entendimiento sobre</w:t>
            </w:r>
            <w:r>
              <w:t xml:space="preserve"> </w:t>
            </w:r>
            <w:r w:rsidR="00446C6E">
              <w:rPr>
                <w:rFonts w:asciiTheme="majorHAnsi" w:eastAsia="Calibri" w:hAnsiTheme="majorHAnsi" w:cstheme="majorHAnsi"/>
                <w:sz w:val="20"/>
                <w:szCs w:val="20"/>
              </w:rPr>
              <w:t>Fundamentos socioeconómicos para la transición</w:t>
            </w:r>
            <w:r w:rsidR="0020054D">
              <w:rPr>
                <w:rFonts w:asciiTheme="majorHAnsi" w:eastAsia="Calibri" w:hAnsiTheme="majorHAnsi" w:cstheme="majorHAnsi"/>
                <w:sz w:val="20"/>
                <w:szCs w:val="20"/>
              </w:rPr>
              <w:t>.</w:t>
            </w:r>
          </w:p>
        </w:tc>
      </w:tr>
      <w:tr w:rsidR="00B24802" w:rsidRPr="00F538B7" w14:paraId="78F904B0" w14:textId="77777777" w:rsidTr="00DC691D">
        <w:trPr>
          <w:gridAfter w:val="1"/>
          <w:wAfter w:w="360" w:type="dxa"/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b/>
                <w:color w:val="595959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B24802" w:rsidRPr="00F538B7" w:rsidRDefault="00B24802" w:rsidP="00B24802">
            <w:pPr>
              <w:rPr>
                <w:rFonts w:asciiTheme="majorHAnsi" w:eastAsia="Calibri" w:hAnsiTheme="majorHAnsi" w:cstheme="majorHAnsi"/>
                <w:bCs/>
                <w:color w:val="AEAAAA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sz w:val="20"/>
                <w:szCs w:val="20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F538B7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F538B7" w:rsidRDefault="00B11CF2" w:rsidP="00B11CF2">
            <w:pPr>
              <w:widowControl w:val="0"/>
              <w:jc w:val="center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FINAL ACTIVIDAD</w:t>
            </w:r>
          </w:p>
        </w:tc>
      </w:tr>
      <w:tr w:rsidR="00B11CF2" w:rsidRPr="00F538B7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Pr="00F538B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48CA154D" w:rsidR="00B11CF2" w:rsidRPr="00F538B7" w:rsidRDefault="00B11CF2" w:rsidP="00C405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 xml:space="preserve">¡Excelente! </w:t>
            </w:r>
            <w:r w:rsidR="00C40595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Felicitaciones</w:t>
            </w: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, ha superado la actividad y demuestra sólidos conocimientos sobre el componente formativo.</w:t>
            </w:r>
          </w:p>
        </w:tc>
      </w:tr>
      <w:tr w:rsidR="009921BA" w:rsidRPr="00F538B7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Pr="00F538B7" w:rsidRDefault="00B11CF2" w:rsidP="00B11CF2">
            <w:pPr>
              <w:widowControl w:val="0"/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595959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3DFEC4E" w:rsidR="00B11CF2" w:rsidRPr="00F538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F538B7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A9514B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5AE5193B" w:rsidR="00A9514B" w:rsidRDefault="00A9514B" w:rsidP="008C5CA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E8117C">
              <w:rPr>
                <w:rFonts w:ascii="Calibri" w:eastAsia="Calibri" w:hAnsi="Calibri" w:cs="Calibri"/>
                <w:b/>
                <w:color w:val="595959"/>
              </w:rPr>
              <w:t>Expert</w:t>
            </w:r>
            <w:r w:rsidR="008C5CA0">
              <w:rPr>
                <w:rFonts w:ascii="Calibri" w:eastAsia="Calibri" w:hAnsi="Calibri" w:cs="Calibri"/>
                <w:b/>
                <w:color w:val="595959"/>
              </w:rPr>
              <w:t>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5FC1671F" w:rsidR="00A9514B" w:rsidRDefault="00B248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Jorge Eduardo Alava Arévalo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3FC28061" w:rsidR="00A9514B" w:rsidRDefault="00A9514B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  <w:tr w:rsidR="00C0495F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Default="00C0495F" w:rsidP="005D6C01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>Evaluador</w:t>
            </w:r>
            <w:r w:rsidR="008E1685">
              <w:rPr>
                <w:rFonts w:ascii="Calibri" w:eastAsia="Calibri" w:hAnsi="Calibri" w:cs="Calibri"/>
                <w:b/>
                <w:color w:val="595959"/>
              </w:rPr>
              <w:t>a</w:t>
            </w:r>
            <w:r w:rsidR="00C85661">
              <w:rPr>
                <w:rFonts w:ascii="Calibri" w:eastAsia="Calibri" w:hAnsi="Calibri" w:cs="Calibri"/>
                <w:b/>
                <w:color w:val="595959"/>
              </w:rPr>
              <w:t xml:space="preserve"> i</w:t>
            </w:r>
            <w:r w:rsidR="005D6C01">
              <w:rPr>
                <w:rFonts w:ascii="Calibri" w:eastAsia="Calibri" w:hAnsi="Calibri" w:cs="Calibri"/>
                <w:b/>
                <w:color w:val="595959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4F34B991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3F8AE9B6" w:rsidR="00C0495F" w:rsidRDefault="00C0495F" w:rsidP="00736566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2496B24" w14:textId="77777777" w:rsidR="00C57B0F" w:rsidRDefault="00C57B0F"/>
    <w:sectPr w:rsidR="00C57B0F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E5300" w14:textId="77777777" w:rsidR="00B20A1F" w:rsidRDefault="00B20A1F">
      <w:pPr>
        <w:spacing w:line="240" w:lineRule="auto"/>
      </w:pPr>
      <w:r>
        <w:separator/>
      </w:r>
    </w:p>
  </w:endnote>
  <w:endnote w:type="continuationSeparator" w:id="0">
    <w:p w14:paraId="2007EEB6" w14:textId="77777777" w:rsidR="00B20A1F" w:rsidRDefault="00B20A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3FD9E" w14:textId="77777777" w:rsidR="00B20A1F" w:rsidRDefault="00B20A1F">
      <w:pPr>
        <w:spacing w:line="240" w:lineRule="auto"/>
      </w:pPr>
      <w:r>
        <w:separator/>
      </w:r>
    </w:p>
  </w:footnote>
  <w:footnote w:type="continuationSeparator" w:id="0">
    <w:p w14:paraId="0CA5448B" w14:textId="77777777" w:rsidR="00B20A1F" w:rsidRDefault="00B20A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03834470">
    <w:abstractNumId w:val="1"/>
  </w:num>
  <w:num w:numId="2" w16cid:durableId="1553540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25618"/>
    <w:rsid w:val="000713AC"/>
    <w:rsid w:val="00075BDE"/>
    <w:rsid w:val="0009090B"/>
    <w:rsid w:val="000C68FF"/>
    <w:rsid w:val="000D6787"/>
    <w:rsid w:val="000E3ADC"/>
    <w:rsid w:val="000F0352"/>
    <w:rsid w:val="000F39CD"/>
    <w:rsid w:val="000F7265"/>
    <w:rsid w:val="00117681"/>
    <w:rsid w:val="00142509"/>
    <w:rsid w:val="0016157D"/>
    <w:rsid w:val="0018141D"/>
    <w:rsid w:val="0018472E"/>
    <w:rsid w:val="001B5CD5"/>
    <w:rsid w:val="001C2159"/>
    <w:rsid w:val="001D65D0"/>
    <w:rsid w:val="001F0B68"/>
    <w:rsid w:val="0020054D"/>
    <w:rsid w:val="00224226"/>
    <w:rsid w:val="00230CDA"/>
    <w:rsid w:val="002D3052"/>
    <w:rsid w:val="002E46FB"/>
    <w:rsid w:val="002E6E32"/>
    <w:rsid w:val="003605E9"/>
    <w:rsid w:val="00362E05"/>
    <w:rsid w:val="00363102"/>
    <w:rsid w:val="00366D43"/>
    <w:rsid w:val="00383143"/>
    <w:rsid w:val="00391997"/>
    <w:rsid w:val="00407479"/>
    <w:rsid w:val="00425471"/>
    <w:rsid w:val="0043109F"/>
    <w:rsid w:val="00446C6E"/>
    <w:rsid w:val="00451E15"/>
    <w:rsid w:val="004603C6"/>
    <w:rsid w:val="00475EC9"/>
    <w:rsid w:val="00482C46"/>
    <w:rsid w:val="004A00B2"/>
    <w:rsid w:val="004D26E9"/>
    <w:rsid w:val="004E274A"/>
    <w:rsid w:val="005153E9"/>
    <w:rsid w:val="00562686"/>
    <w:rsid w:val="00590004"/>
    <w:rsid w:val="00592F93"/>
    <w:rsid w:val="005D6C01"/>
    <w:rsid w:val="005E5D50"/>
    <w:rsid w:val="00610D44"/>
    <w:rsid w:val="00654A50"/>
    <w:rsid w:val="006568C4"/>
    <w:rsid w:val="006635C4"/>
    <w:rsid w:val="00684E23"/>
    <w:rsid w:val="006C52FA"/>
    <w:rsid w:val="006F219D"/>
    <w:rsid w:val="00701B54"/>
    <w:rsid w:val="00725E57"/>
    <w:rsid w:val="00736566"/>
    <w:rsid w:val="00750082"/>
    <w:rsid w:val="0075036B"/>
    <w:rsid w:val="00763ED4"/>
    <w:rsid w:val="00774E6E"/>
    <w:rsid w:val="0078087A"/>
    <w:rsid w:val="00782B1E"/>
    <w:rsid w:val="007844D1"/>
    <w:rsid w:val="007878C4"/>
    <w:rsid w:val="007B4AD3"/>
    <w:rsid w:val="007C4232"/>
    <w:rsid w:val="00805A67"/>
    <w:rsid w:val="00814E3C"/>
    <w:rsid w:val="00822675"/>
    <w:rsid w:val="00822B52"/>
    <w:rsid w:val="00825F05"/>
    <w:rsid w:val="00836FBD"/>
    <w:rsid w:val="00862211"/>
    <w:rsid w:val="008C5CA0"/>
    <w:rsid w:val="008D29A5"/>
    <w:rsid w:val="008E1685"/>
    <w:rsid w:val="008E5D7E"/>
    <w:rsid w:val="008E6807"/>
    <w:rsid w:val="008F129C"/>
    <w:rsid w:val="008F7BC0"/>
    <w:rsid w:val="00902CCE"/>
    <w:rsid w:val="00917B02"/>
    <w:rsid w:val="00987DD9"/>
    <w:rsid w:val="009921BA"/>
    <w:rsid w:val="00996CB7"/>
    <w:rsid w:val="009A36D1"/>
    <w:rsid w:val="009B224D"/>
    <w:rsid w:val="009C2A48"/>
    <w:rsid w:val="009D1BF1"/>
    <w:rsid w:val="009D37F0"/>
    <w:rsid w:val="00A50801"/>
    <w:rsid w:val="00A9514B"/>
    <w:rsid w:val="00AB0D8B"/>
    <w:rsid w:val="00AD367E"/>
    <w:rsid w:val="00B00A40"/>
    <w:rsid w:val="00B02B81"/>
    <w:rsid w:val="00B11CF2"/>
    <w:rsid w:val="00B12A17"/>
    <w:rsid w:val="00B20A1F"/>
    <w:rsid w:val="00B24802"/>
    <w:rsid w:val="00B33D03"/>
    <w:rsid w:val="00B411B5"/>
    <w:rsid w:val="00B63D1C"/>
    <w:rsid w:val="00BB561B"/>
    <w:rsid w:val="00BD183E"/>
    <w:rsid w:val="00BE1AF5"/>
    <w:rsid w:val="00BE7AE1"/>
    <w:rsid w:val="00C0495F"/>
    <w:rsid w:val="00C33AF7"/>
    <w:rsid w:val="00C40595"/>
    <w:rsid w:val="00C57B0F"/>
    <w:rsid w:val="00C85661"/>
    <w:rsid w:val="00CA2567"/>
    <w:rsid w:val="00CD3981"/>
    <w:rsid w:val="00CE304B"/>
    <w:rsid w:val="00CF5181"/>
    <w:rsid w:val="00CF6CED"/>
    <w:rsid w:val="00D154B7"/>
    <w:rsid w:val="00D16CEB"/>
    <w:rsid w:val="00D224A0"/>
    <w:rsid w:val="00D96770"/>
    <w:rsid w:val="00DE1C97"/>
    <w:rsid w:val="00DF0290"/>
    <w:rsid w:val="00DF4731"/>
    <w:rsid w:val="00E02298"/>
    <w:rsid w:val="00E23F58"/>
    <w:rsid w:val="00E55078"/>
    <w:rsid w:val="00E8117C"/>
    <w:rsid w:val="00EA1809"/>
    <w:rsid w:val="00EA4920"/>
    <w:rsid w:val="00EB3C77"/>
    <w:rsid w:val="00EC2649"/>
    <w:rsid w:val="00ED3B41"/>
    <w:rsid w:val="00F03327"/>
    <w:rsid w:val="00F10296"/>
    <w:rsid w:val="00F22708"/>
    <w:rsid w:val="00F321DB"/>
    <w:rsid w:val="00F34819"/>
    <w:rsid w:val="00F44480"/>
    <w:rsid w:val="00F45568"/>
    <w:rsid w:val="00F52AA1"/>
    <w:rsid w:val="00F538B7"/>
    <w:rsid w:val="00F70AE9"/>
    <w:rsid w:val="00F76581"/>
    <w:rsid w:val="00F97BD8"/>
    <w:rsid w:val="00FE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4D1"/>
  </w:style>
  <w:style w:type="paragraph" w:styleId="Footer">
    <w:name w:val="footer"/>
    <w:basedOn w:val="Normal"/>
    <w:link w:val="FooterCh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4D1"/>
  </w:style>
  <w:style w:type="paragraph" w:styleId="ListParagraph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8A463C70CDF94EBCEAEE24D04F3F8A" ma:contentTypeVersion="12" ma:contentTypeDescription="Crear nuevo documento." ma:contentTypeScope="" ma:versionID="0a68c197ff11ee8f2a4dfa92d3e5c792">
  <xsd:schema xmlns:xsd="http://www.w3.org/2001/XMLSchema" xmlns:xs="http://www.w3.org/2001/XMLSchema" xmlns:p="http://schemas.microsoft.com/office/2006/metadata/properties" xmlns:ns2="d174a4fb-80c2-4523-8d89-375030acacbf" xmlns:ns3="b250f519-6473-4480-8c44-6ee3a3a530c3" targetNamespace="http://schemas.microsoft.com/office/2006/metadata/properties" ma:root="true" ma:fieldsID="55936f832c432473a7bcdfeafd102760" ns2:_="" ns3:_="">
    <xsd:import namespace="d174a4fb-80c2-4523-8d89-375030acacbf"/>
    <xsd:import namespace="b250f519-6473-4480-8c44-6ee3a3a530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4a4fb-80c2-4523-8d89-375030acac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50f519-6473-4480-8c44-6ee3a3a530c3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b99aca81-e582-4351-8e44-cebe80f68b03}" ma:internalName="TaxCatchAll" ma:showField="CatchAllData" ma:web="b250f519-6473-4480-8c44-6ee3a3a530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50f519-6473-4480-8c44-6ee3a3a530c3" xsi:nil="true"/>
    <lcf76f155ced4ddcb4097134ff3c332f xmlns="d174a4fb-80c2-4523-8d89-375030acac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44F5AC-CA11-4BD4-9F76-162239727663}"/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b250f519-6473-4480-8c44-6ee3a3a530c3"/>
    <ds:schemaRef ds:uri="d174a4fb-80c2-4523-8d89-375030acac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1611</Words>
  <Characters>8864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Paola Moya</cp:lastModifiedBy>
  <cp:revision>8</cp:revision>
  <dcterms:created xsi:type="dcterms:W3CDTF">2025-11-10T02:34:00Z</dcterms:created>
  <dcterms:modified xsi:type="dcterms:W3CDTF">2025-12-16T20:53:00Z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0x010100EA8A463C70CDF94EBCEAEE24D04F3F8A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