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bl>
      <w:tblPr>
        <w:tblStyle w:val="Table1"/>
        <w:tblW w:w="95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sz w:val="20"/>
                <w:szCs w:val="20"/>
                <w:rtl w:val="0"/>
              </w:rPr>
              <w:t xml:space="preserve">a</w:t>
            </w:r>
            <w:r w:rsidDel="00000000" w:rsidR="00000000" w:rsidRPr="00000000">
              <w:rPr>
                <w:b w:val="1"/>
                <w:color w:val="000000"/>
                <w:sz w:val="20"/>
                <w:szCs w:val="20"/>
                <w:rtl w:val="0"/>
              </w:rPr>
              <w:t xml:space="preserve">ctividad</w:t>
            </w:r>
          </w:p>
        </w:tc>
        <w:tc>
          <w:tcPr>
            <w:shd w:fill="auto" w:val="clear"/>
            <w:vAlign w:val="center"/>
          </w:tcPr>
          <w:p w:rsidR="00000000" w:rsidDel="00000000" w:rsidP="00000000" w:rsidRDefault="00000000" w:rsidRPr="00000000" w14:paraId="00000005">
            <w:pPr>
              <w:rPr>
                <w:color w:val="000000"/>
                <w:sz w:val="20"/>
                <w:szCs w:val="20"/>
              </w:rPr>
            </w:pPr>
            <w:r w:rsidDel="00000000" w:rsidR="00000000" w:rsidRPr="00000000">
              <w:rPr>
                <w:color w:val="000000"/>
                <w:sz w:val="20"/>
                <w:szCs w:val="20"/>
                <w:rtl w:val="0"/>
              </w:rPr>
              <w:t xml:space="preserve">Pictogramas para etiquetas mercancías peligrosas</w:t>
            </w:r>
          </w:p>
        </w:tc>
      </w:tr>
      <w:tr>
        <w:trPr>
          <w:cantSplit w:val="0"/>
          <w:trHeight w:val="806" w:hRule="atLeast"/>
          <w:tblHeader w:val="0"/>
        </w:trPr>
        <w:tc>
          <w:tcPr>
            <w:shd w:fill="fac896"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7">
            <w:pPr>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Afianzar los conocimientos frente a las mercancías peligrosas, con la finalidad de manejar todo lo que tiene que ver con su regulación que marca los requisitos para su almacenamiento, manipulación y transporte.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9">
            <w:pPr>
              <w:rPr>
                <w:color w:val="000000"/>
                <w:sz w:val="20"/>
                <w:szCs w:val="20"/>
              </w:rPr>
            </w:pPr>
            <w:r w:rsidDel="00000000" w:rsidR="00000000" w:rsidRPr="00000000">
              <w:rPr>
                <w:color w:val="000000"/>
                <w:sz w:val="20"/>
                <w:szCs w:val="20"/>
                <w:rtl w:val="0"/>
              </w:rPr>
              <w:t xml:space="preserve">Relacionar clases de pictogramas con símbolos respectivos</w:t>
            </w:r>
          </w:p>
        </w:tc>
      </w:tr>
      <w:tr>
        <w:trPr>
          <w:cantSplit w:val="0"/>
          <w:trHeight w:val="806" w:hRule="atLeast"/>
          <w:tblHeader w:val="0"/>
        </w:trPr>
        <w:tc>
          <w:tcPr>
            <w:shd w:fill="fac896" w:val="clear"/>
            <w:vAlign w:val="center"/>
          </w:tcPr>
          <w:p w:rsidR="00000000" w:rsidDel="00000000" w:rsidP="00000000" w:rsidRDefault="00000000" w:rsidRPr="00000000" w14:paraId="0000000A">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0B">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0C">
            <w:pPr>
              <w:rPr>
                <w:color w:val="000000"/>
                <w:sz w:val="20"/>
                <w:szCs w:val="20"/>
              </w:rPr>
            </w:pPr>
            <w:r w:rsidDel="00000000" w:rsidR="00000000" w:rsidRPr="00000000">
              <w:rPr>
                <w:color w:val="000000"/>
                <w:sz w:val="20"/>
                <w:szCs w:val="20"/>
                <w:rtl w:val="0"/>
              </w:rPr>
              <w:t xml:space="preserve">Anexo documento en Word </w:t>
            </w:r>
          </w:p>
        </w:tc>
      </w:tr>
    </w:tbl>
    <w:p w:rsidR="00000000" w:rsidDel="00000000" w:rsidP="00000000" w:rsidRDefault="00000000" w:rsidRPr="00000000" w14:paraId="0000000D">
      <w:pPr>
        <w:rPr>
          <w:b w:val="1"/>
          <w:color w:val="000000"/>
          <w:sz w:val="20"/>
          <w:szCs w:val="20"/>
        </w:rPr>
      </w:pPr>
      <w:r w:rsidDel="00000000" w:rsidR="00000000" w:rsidRPr="00000000">
        <w:rPr>
          <w:rtl w:val="0"/>
        </w:rPr>
      </w:r>
    </w:p>
    <w:p w:rsidR="00000000" w:rsidDel="00000000" w:rsidP="00000000" w:rsidRDefault="00000000" w:rsidRPr="00000000" w14:paraId="0000000E">
      <w:pPr>
        <w:rPr>
          <w:b w:val="1"/>
          <w:color w:val="000000"/>
          <w:sz w:val="20"/>
          <w:szCs w:val="20"/>
        </w:rPr>
      </w:pPr>
      <w:r w:rsidDel="00000000" w:rsidR="00000000" w:rsidRPr="00000000">
        <w:rPr>
          <w:b w:val="1"/>
          <w:color w:val="000000"/>
          <w:sz w:val="20"/>
          <w:szCs w:val="20"/>
          <w:rtl w:val="0"/>
        </w:rPr>
        <w:t xml:space="preserve">Desarrollo de la actividad:</w:t>
      </w:r>
    </w:p>
    <w:p w:rsidR="00000000" w:rsidDel="00000000" w:rsidP="00000000" w:rsidRDefault="00000000" w:rsidRPr="00000000" w14:paraId="0000000F">
      <w:pPr>
        <w:rPr>
          <w:b w:val="1"/>
          <w:color w:val="000000"/>
          <w:sz w:val="20"/>
          <w:szCs w:val="20"/>
        </w:rPr>
      </w:pPr>
      <w:r w:rsidDel="00000000" w:rsidR="00000000" w:rsidRPr="00000000">
        <w:rPr>
          <w:rtl w:val="0"/>
        </w:rPr>
      </w:r>
    </w:p>
    <w:p w:rsidR="00000000" w:rsidDel="00000000" w:rsidP="00000000" w:rsidRDefault="00000000" w:rsidRPr="00000000" w14:paraId="00000010">
      <w:pPr>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11">
      <w:pPr>
        <w:rPr>
          <w:color w:val="000000"/>
          <w:sz w:val="20"/>
          <w:szCs w:val="20"/>
        </w:rPr>
      </w:pPr>
      <w:r w:rsidDel="00000000" w:rsidR="00000000" w:rsidRPr="00000000">
        <w:rPr>
          <w:color w:val="000000"/>
          <w:sz w:val="20"/>
          <w:szCs w:val="20"/>
          <w:rtl w:val="0"/>
        </w:rPr>
        <w:t xml:space="preserve">Existen 9 clases de mercancías peligrosas que se identifican con códigos y símbolos específicos, según la Comisión Económica de las Naciones Unidas para Europa (UNECE). A continuación los invitamos a relacionar cual es el pictograma que corresponde a cada uno.</w:t>
      </w:r>
    </w:p>
    <w:p w:rsidR="00000000" w:rsidDel="00000000" w:rsidP="00000000" w:rsidRDefault="00000000" w:rsidRPr="00000000" w14:paraId="00000012">
      <w:pPr>
        <w:rPr>
          <w:color w:val="000000"/>
          <w:sz w:val="20"/>
          <w:szCs w:val="20"/>
        </w:rPr>
      </w:pPr>
      <w:r w:rsidDel="00000000" w:rsidR="00000000" w:rsidRPr="00000000">
        <w:rPr>
          <w:rtl w:val="0"/>
        </w:rPr>
      </w:r>
    </w:p>
    <w:p w:rsidR="00000000" w:rsidDel="00000000" w:rsidP="00000000" w:rsidRDefault="00000000" w:rsidRPr="00000000" w14:paraId="00000013">
      <w:pPr>
        <w:rPr>
          <w:color w:val="000000"/>
          <w:sz w:val="20"/>
          <w:szCs w:val="20"/>
        </w:rPr>
      </w:pPr>
      <w:r w:rsidDel="00000000" w:rsidR="00000000" w:rsidRPr="00000000">
        <w:rPr>
          <w:color w:val="000000"/>
          <w:sz w:val="20"/>
          <w:szCs w:val="20"/>
          <w:rtl w:val="0"/>
        </w:rPr>
        <w:t xml:space="preserve">Clase 1: materias y objetos explosivos</w:t>
      </w:r>
    </w:p>
    <w:p w:rsidR="00000000" w:rsidDel="00000000" w:rsidP="00000000" w:rsidRDefault="00000000" w:rsidRPr="00000000" w14:paraId="00000014">
      <w:pPr>
        <w:rPr>
          <w:color w:val="000000"/>
          <w:sz w:val="20"/>
          <w:szCs w:val="20"/>
        </w:rPr>
      </w:pPr>
      <w:r w:rsidDel="00000000" w:rsidR="00000000" w:rsidRPr="00000000">
        <w:rPr>
          <w:color w:val="000000"/>
          <w:sz w:val="20"/>
          <w:szCs w:val="20"/>
          <w:rtl w:val="0"/>
        </w:rPr>
        <w:t xml:space="preserve">Clase 2: gases</w:t>
      </w:r>
    </w:p>
    <w:p w:rsidR="00000000" w:rsidDel="00000000" w:rsidP="00000000" w:rsidRDefault="00000000" w:rsidRPr="00000000" w14:paraId="00000015">
      <w:pPr>
        <w:rPr>
          <w:color w:val="000000"/>
          <w:sz w:val="20"/>
          <w:szCs w:val="20"/>
        </w:rPr>
      </w:pPr>
      <w:r w:rsidDel="00000000" w:rsidR="00000000" w:rsidRPr="00000000">
        <w:rPr>
          <w:color w:val="000000"/>
          <w:sz w:val="20"/>
          <w:szCs w:val="20"/>
          <w:rtl w:val="0"/>
        </w:rPr>
        <w:t xml:space="preserve">Clase 3: materias líquidas inflamables</w:t>
      </w:r>
    </w:p>
    <w:p w:rsidR="00000000" w:rsidDel="00000000" w:rsidP="00000000" w:rsidRDefault="00000000" w:rsidRPr="00000000" w14:paraId="00000016">
      <w:pPr>
        <w:rPr>
          <w:color w:val="000000"/>
          <w:sz w:val="20"/>
          <w:szCs w:val="20"/>
        </w:rPr>
      </w:pPr>
      <w:r w:rsidDel="00000000" w:rsidR="00000000" w:rsidRPr="00000000">
        <w:rPr>
          <w:color w:val="000000"/>
          <w:sz w:val="20"/>
          <w:szCs w:val="20"/>
          <w:rtl w:val="0"/>
        </w:rPr>
        <w:t xml:space="preserve">Clase 4: sólidos inflamables, sustancias que pueden sufrir combustión espontánea, sustancias que en contacto con el agua pueden inflamarse</w:t>
      </w:r>
    </w:p>
    <w:p w:rsidR="00000000" w:rsidDel="00000000" w:rsidP="00000000" w:rsidRDefault="00000000" w:rsidRPr="00000000" w14:paraId="00000017">
      <w:pPr>
        <w:rPr>
          <w:color w:val="000000"/>
          <w:sz w:val="20"/>
          <w:szCs w:val="20"/>
        </w:rPr>
      </w:pPr>
      <w:r w:rsidDel="00000000" w:rsidR="00000000" w:rsidRPr="00000000">
        <w:rPr>
          <w:color w:val="000000"/>
          <w:sz w:val="20"/>
          <w:szCs w:val="20"/>
          <w:rtl w:val="0"/>
        </w:rPr>
        <w:t xml:space="preserve">Clase 5: sustancias comburentes y peróxidos orgánicos</w:t>
      </w:r>
    </w:p>
    <w:p w:rsidR="00000000" w:rsidDel="00000000" w:rsidP="00000000" w:rsidRDefault="00000000" w:rsidRPr="00000000" w14:paraId="00000018">
      <w:pPr>
        <w:rPr>
          <w:color w:val="000000"/>
          <w:sz w:val="20"/>
          <w:szCs w:val="20"/>
        </w:rPr>
      </w:pPr>
      <w:r w:rsidDel="00000000" w:rsidR="00000000" w:rsidRPr="00000000">
        <w:rPr>
          <w:color w:val="000000"/>
          <w:sz w:val="20"/>
          <w:szCs w:val="20"/>
          <w:rtl w:val="0"/>
        </w:rPr>
        <w:t xml:space="preserve">Clase 6: materias tóxicas e infecciosas</w:t>
      </w:r>
    </w:p>
    <w:p w:rsidR="00000000" w:rsidDel="00000000" w:rsidP="00000000" w:rsidRDefault="00000000" w:rsidRPr="00000000" w14:paraId="00000019">
      <w:pPr>
        <w:rPr>
          <w:color w:val="000000"/>
          <w:sz w:val="20"/>
          <w:szCs w:val="20"/>
        </w:rPr>
      </w:pPr>
      <w:r w:rsidDel="00000000" w:rsidR="00000000" w:rsidRPr="00000000">
        <w:rPr>
          <w:color w:val="000000"/>
          <w:sz w:val="20"/>
          <w:szCs w:val="20"/>
          <w:rtl w:val="0"/>
        </w:rPr>
        <w:t xml:space="preserve">Clase 7: sustancias radioactivas</w:t>
      </w:r>
    </w:p>
    <w:p w:rsidR="00000000" w:rsidDel="00000000" w:rsidP="00000000" w:rsidRDefault="00000000" w:rsidRPr="00000000" w14:paraId="0000001A">
      <w:pPr>
        <w:rPr>
          <w:color w:val="000000"/>
          <w:sz w:val="20"/>
          <w:szCs w:val="20"/>
        </w:rPr>
      </w:pPr>
      <w:r w:rsidDel="00000000" w:rsidR="00000000" w:rsidRPr="00000000">
        <w:rPr>
          <w:color w:val="000000"/>
          <w:sz w:val="20"/>
          <w:szCs w:val="20"/>
          <w:rtl w:val="0"/>
        </w:rPr>
        <w:t xml:space="preserve">Clase 8: sustancias corrosivas</w:t>
      </w:r>
    </w:p>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Clase 9: sustancias que presentan peligros diversos</w:t>
      </w:r>
    </w:p>
    <w:p w:rsidR="00000000" w:rsidDel="00000000" w:rsidP="00000000" w:rsidRDefault="00000000" w:rsidRPr="00000000" w14:paraId="0000001C">
      <w:pPr>
        <w:spacing w:line="240" w:lineRule="auto"/>
        <w:rPr>
          <w:sz w:val="20"/>
          <w:szCs w:val="20"/>
        </w:rPr>
      </w:pPr>
      <w:r w:rsidDel="00000000" w:rsidR="00000000" w:rsidRPr="00000000">
        <w:rPr>
          <w:sz w:val="20"/>
          <w:szCs w:val="20"/>
        </w:rPr>
        <w:drawing>
          <wp:inline distB="0" distT="0" distL="0" distR="0">
            <wp:extent cx="5612130" cy="3925570"/>
            <wp:effectExtent b="0" l="0" r="0" t="0"/>
            <wp:docPr descr="Image module" id="4" name="image2.jpg"/>
            <a:graphic>
              <a:graphicData uri="http://schemas.openxmlformats.org/drawingml/2006/picture">
                <pic:pic>
                  <pic:nvPicPr>
                    <pic:cNvPr descr="Image module" id="0" name="image2.jpg"/>
                    <pic:cNvPicPr preferRelativeResize="0"/>
                  </pic:nvPicPr>
                  <pic:blipFill>
                    <a:blip r:embed="rId7"/>
                    <a:srcRect b="0" l="0" r="0" t="0"/>
                    <a:stretch>
                      <a:fillRect/>
                    </a:stretch>
                  </pic:blipFill>
                  <pic:spPr>
                    <a:xfrm>
                      <a:off x="0" y="0"/>
                      <a:ext cx="5612130" cy="39255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color w:val="000000"/>
          <w:sz w:val="20"/>
          <w:szCs w:val="20"/>
        </w:rPr>
      </w:pPr>
      <w:r w:rsidDel="00000000" w:rsidR="00000000" w:rsidRPr="00000000">
        <w:rPr>
          <w:rtl w:val="0"/>
        </w:rPr>
      </w:r>
    </w:p>
    <w:p w:rsidR="00000000" w:rsidDel="00000000" w:rsidP="00000000" w:rsidRDefault="00000000" w:rsidRPr="00000000" w14:paraId="0000001E">
      <w:pPr>
        <w:rPr>
          <w:color w:val="000000"/>
          <w:sz w:val="20"/>
          <w:szCs w:val="20"/>
        </w:rPr>
      </w:pPr>
      <w:r w:rsidDel="00000000" w:rsidR="00000000" w:rsidRPr="00000000">
        <w:rPr>
          <w:sz w:val="20"/>
          <w:szCs w:val="20"/>
          <w:rtl w:val="0"/>
        </w:rPr>
        <w:t xml:space="preserve">Nota. https://bit.ly/3sAXvIu </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Correcto:</w:t>
      </w:r>
    </w:p>
    <w:p w:rsidR="00000000" w:rsidDel="00000000" w:rsidP="00000000" w:rsidRDefault="00000000" w:rsidRPr="00000000" w14:paraId="00000022">
      <w:pPr>
        <w:rPr>
          <w:sz w:val="20"/>
          <w:szCs w:val="20"/>
        </w:rPr>
      </w:pPr>
      <w:r w:rsidDel="00000000" w:rsidR="00000000" w:rsidRPr="00000000">
        <w:rPr>
          <w:sz w:val="20"/>
          <w:szCs w:val="20"/>
          <w:rtl w:val="0"/>
        </w:rPr>
        <w:t xml:space="preserve">Has relacionado correctamente cada uno de los conceptos con su respectiva respuesta, ¡Felicitaciones!, esto da cuenta de la comprensión de algunos conceptos claves del componente formativo. ¡Sigue adelante con el mismo empeño!</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Incorrecto:</w:t>
      </w:r>
    </w:p>
    <w:p w:rsidR="00000000" w:rsidDel="00000000" w:rsidP="00000000" w:rsidRDefault="00000000" w:rsidRPr="00000000" w14:paraId="00000025">
      <w:pPr>
        <w:rPr>
          <w:sz w:val="20"/>
          <w:szCs w:val="20"/>
        </w:rPr>
      </w:pPr>
      <w:r w:rsidDel="00000000" w:rsidR="00000000" w:rsidRPr="00000000">
        <w:rPr>
          <w:sz w:val="20"/>
          <w:szCs w:val="20"/>
          <w:rtl w:val="0"/>
        </w:rPr>
        <w:t xml:space="preserve">Has relacionado incorrectamente alguno de los conceptos con su respectiva respuesta, no te desanimes,  revisa nuevamente el contenido  y vuelve a intentarlo.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¡Mucho ánimo!</w:t>
      </w:r>
    </w:p>
    <w:p w:rsidR="00000000" w:rsidDel="00000000" w:rsidP="00000000" w:rsidRDefault="00000000" w:rsidRPr="00000000" w14:paraId="0000002A">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2621280</wp:posOffset>
          </wp:positionH>
          <wp:positionV relativeFrom="page">
            <wp:posOffset>441325</wp:posOffset>
          </wp:positionV>
          <wp:extent cx="629920" cy="588645"/>
          <wp:effectExtent b="0" l="0" r="0" t="0"/>
          <wp:wrapNone/>
          <wp:docPr id="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tGUJTJnA4FJNLrxjsnuauZH0w==">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