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Actividad Didáctica Conceptualización BPGBL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Marque Falso o Verdadero.</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Normativa por la cual establece el Reglamento Técnico sobre los requisitos que debe cumplir la leche para el consumo humano que se obtenga, procese, envase, transporte, comercialice, expenda, importe o exporte en el país, es el decreto 068167.</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Falso (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 (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disposición de envases e insumos agropecuarios hace parte del componente de buenas prácticas de uso de medicamentos veterinarios y alimentación animal.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Falso (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 (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normas que se crearon para el establecimiento de las BPG, buscan reducir el impacto negativo que tienen las prácticas pecuarias sobre el medio ambiente, minimizar los riesgos de contaminación físico-químicos y biológicos de los productos pecuarios, brindando al consumidor, un alimento inocuo, mejorar el bienestar animal y la calidad de vida de los trabajadores pecuarios.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Falso (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Verdadero (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programa de Gestión Ambiental pretende encontrar respuestas adecuadas a los problemas suscitados en la relación </w:t>
      </w:r>
      <w:r w:rsidDel="00000000" w:rsidR="00000000" w:rsidRPr="00000000">
        <w:rPr>
          <w:rtl w:val="0"/>
        </w:rPr>
        <w:t xml:space="preserve">entre 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sociedad y la naturaleza.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Falso (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Verdadero (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contacto con las vacunas,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químicos no es peligroso y puede ser ignorado.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Falso (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Verdadero (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usar guantes de goma y gafas contra rociadura cuando se está mezclando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usados para el ganado.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Falso (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Verdadero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 el resultado es erróneo debe aparecer este mensaje para volver a revisar o intentar respuestas: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9525</wp:posOffset>
            </wp:positionV>
            <wp:extent cx="5391150" cy="2800350"/>
            <wp:effectExtent b="0" l="0" r="0" t="0"/>
            <wp:wrapNone/>
            <wp:docPr id="22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1150" cy="2800350"/>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2641600</wp:posOffset>
                </wp:positionH>
                <wp:positionV relativeFrom="paragraph">
                  <wp:posOffset>464820</wp:posOffset>
                </wp:positionV>
                <wp:extent cx="1933575" cy="571500"/>
                <wp:effectExtent b="0" l="0" r="0" t="0"/>
                <wp:wrapSquare wrapText="bothSides" distB="45720" distT="45720" distL="114300" distR="114300"/>
                <wp:docPr id="218" name=""/>
                <a:graphic>
                  <a:graphicData uri="http://schemas.microsoft.com/office/word/2010/wordprocessingShape">
                    <wps:wsp>
                      <wps:cNvSpPr/>
                      <wps:cNvPr id="2" name="Shape 2"/>
                      <wps:spPr>
                        <a:xfrm>
                          <a:off x="4383975" y="3499013"/>
                          <a:ext cx="1924050" cy="561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No clasificó con los objetivos   referentes a los conceptos de BPGBL.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2641600</wp:posOffset>
                </wp:positionH>
                <wp:positionV relativeFrom="paragraph">
                  <wp:posOffset>464820</wp:posOffset>
                </wp:positionV>
                <wp:extent cx="1933575" cy="571500"/>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33575" cy="571500"/>
                        </a:xfrm>
                        <a:prstGeom prst="rect"/>
                        <a:ln/>
                      </pic:spPr>
                    </pic:pic>
                  </a:graphicData>
                </a:graphic>
              </wp:anchor>
            </w:drawing>
          </mc:Fallback>
        </mc:AlternateConten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Si el resultado es excelente con todas las respuestas verdaderas debe aparecer este mensaje de felicitaciones.</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-1269</wp:posOffset>
            </wp:positionV>
            <wp:extent cx="5394960" cy="3108960"/>
            <wp:effectExtent b="0" l="0" r="0" t="0"/>
            <wp:wrapNone/>
            <wp:docPr id="22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4960" cy="310896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2667000</wp:posOffset>
                </wp:positionH>
                <wp:positionV relativeFrom="paragraph">
                  <wp:posOffset>1811020</wp:posOffset>
                </wp:positionV>
                <wp:extent cx="1933575" cy="571500"/>
                <wp:effectExtent b="0" l="0" r="0" t="0"/>
                <wp:wrapNone/>
                <wp:docPr id="219" name=""/>
                <a:graphic>
                  <a:graphicData uri="http://schemas.microsoft.com/office/word/2010/wordprocessingShape">
                    <wps:wsp>
                      <wps:cNvSpPr/>
                      <wps:cNvPr id="3" name="Shape 3"/>
                      <wps:spPr>
                        <a:xfrm>
                          <a:off x="4383975" y="3499013"/>
                          <a:ext cx="1924050" cy="561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Ha logrado los objetivos   referentes a los conceptos de BPGBL.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2667000</wp:posOffset>
                </wp:positionH>
                <wp:positionV relativeFrom="paragraph">
                  <wp:posOffset>1811020</wp:posOffset>
                </wp:positionV>
                <wp:extent cx="1933575" cy="571500"/>
                <wp:effectExtent b="0" l="0" r="0" t="0"/>
                <wp:wrapNone/>
                <wp:docPr id="219"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933575" cy="571500"/>
                        </a:xfrm>
                        <a:prstGeom prst="rect"/>
                        <a:ln/>
                      </pic:spPr>
                    </pic:pic>
                  </a:graphicData>
                </a:graphic>
              </wp:anchor>
            </w:drawing>
          </mc:Fallback>
        </mc:AlternateConten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0779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F618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rF37cGbCUpk4sAz8YeH1/sJvw==">AMUW2mXbBfoyCs7GhLjavZ6RCgm1RCg/iZKf7PUUKSvbAiU31x0hiX83NceUVaKYH/lJAlOxss4LEQTfB76p5bOOMSllVIIju1ereOAZ9t+9J5W2wNDAXiw=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2022-03-15T20:17:00Z</dcterms:created>
  <dc:creator>Lady Johanna Cruz Sarmiento</dc:creator>
</cp:coreProperties>
</file>