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36CC3" w14:textId="77777777" w:rsidR="004337BD" w:rsidRDefault="004337BD">
      <w:pPr>
        <w:spacing w:line="240" w:lineRule="auto"/>
        <w:rPr>
          <w:b/>
        </w:rPr>
      </w:pPr>
    </w:p>
    <w:tbl>
      <w:tblPr>
        <w:tblStyle w:val="a"/>
        <w:tblW w:w="1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764"/>
        <w:gridCol w:w="4316"/>
      </w:tblGrid>
      <w:tr w:rsidR="004337BD" w14:paraId="4987FCA0" w14:textId="77777777" w:rsidTr="00E63F38">
        <w:trPr>
          <w:trHeight w:val="440"/>
        </w:trPr>
        <w:tc>
          <w:tcPr>
            <w:tcW w:w="2325" w:type="dxa"/>
            <w:shd w:val="clear" w:color="auto" w:fill="FCE5CD"/>
            <w:tcMar>
              <w:top w:w="100" w:type="dxa"/>
              <w:left w:w="100" w:type="dxa"/>
              <w:bottom w:w="100" w:type="dxa"/>
              <w:right w:w="100" w:type="dxa"/>
            </w:tcMar>
          </w:tcPr>
          <w:p w14:paraId="67706275" w14:textId="77777777" w:rsidR="004337BD" w:rsidRDefault="00274888">
            <w:pPr>
              <w:widowControl w:val="0"/>
              <w:spacing w:line="240" w:lineRule="auto"/>
              <w:rPr>
                <w:b/>
                <w:sz w:val="24"/>
                <w:szCs w:val="24"/>
              </w:rPr>
            </w:pPr>
            <w:r>
              <w:rPr>
                <w:b/>
                <w:sz w:val="24"/>
                <w:szCs w:val="24"/>
              </w:rPr>
              <w:t>Título componente</w:t>
            </w:r>
          </w:p>
        </w:tc>
        <w:tc>
          <w:tcPr>
            <w:tcW w:w="12080" w:type="dxa"/>
            <w:gridSpan w:val="2"/>
            <w:shd w:val="clear" w:color="auto" w:fill="FCE5CD"/>
            <w:tcMar>
              <w:top w:w="100" w:type="dxa"/>
              <w:left w:w="100" w:type="dxa"/>
              <w:bottom w:w="100" w:type="dxa"/>
              <w:right w:w="100" w:type="dxa"/>
            </w:tcMar>
          </w:tcPr>
          <w:p w14:paraId="5D7E18BD" w14:textId="77777777" w:rsidR="004337BD" w:rsidRDefault="00274888">
            <w:pPr>
              <w:widowControl w:val="0"/>
              <w:spacing w:line="240" w:lineRule="auto"/>
              <w:jc w:val="center"/>
              <w:rPr>
                <w:b/>
                <w:sz w:val="24"/>
                <w:szCs w:val="24"/>
              </w:rPr>
            </w:pPr>
            <w:r>
              <w:rPr>
                <w:b/>
                <w:sz w:val="24"/>
                <w:szCs w:val="24"/>
              </w:rPr>
              <w:t>Acordeón</w:t>
            </w:r>
          </w:p>
        </w:tc>
      </w:tr>
      <w:tr w:rsidR="00274888" w14:paraId="6BD59364" w14:textId="77777777" w:rsidTr="00E63F38">
        <w:trPr>
          <w:trHeight w:val="420"/>
        </w:trPr>
        <w:tc>
          <w:tcPr>
            <w:tcW w:w="2325" w:type="dxa"/>
            <w:shd w:val="clear" w:color="auto" w:fill="auto"/>
            <w:tcMar>
              <w:top w:w="100" w:type="dxa"/>
              <w:left w:w="100" w:type="dxa"/>
              <w:bottom w:w="100" w:type="dxa"/>
              <w:right w:w="100" w:type="dxa"/>
            </w:tcMar>
          </w:tcPr>
          <w:p w14:paraId="00F36A88" w14:textId="77777777" w:rsidR="00274888" w:rsidRDefault="00274888" w:rsidP="00274888">
            <w:pPr>
              <w:widowControl w:val="0"/>
              <w:spacing w:line="240" w:lineRule="auto"/>
              <w:rPr>
                <w:b/>
              </w:rPr>
            </w:pPr>
            <w:r>
              <w:rPr>
                <w:b/>
              </w:rPr>
              <w:t>Título</w:t>
            </w:r>
          </w:p>
        </w:tc>
        <w:tc>
          <w:tcPr>
            <w:tcW w:w="12080" w:type="dxa"/>
            <w:gridSpan w:val="2"/>
            <w:shd w:val="clear" w:color="auto" w:fill="auto"/>
            <w:tcMar>
              <w:top w:w="100" w:type="dxa"/>
              <w:left w:w="100" w:type="dxa"/>
              <w:bottom w:w="100" w:type="dxa"/>
              <w:right w:w="100" w:type="dxa"/>
            </w:tcMar>
          </w:tcPr>
          <w:p w14:paraId="154AA62C" w14:textId="17744441" w:rsidR="00274888" w:rsidRDefault="00274888" w:rsidP="00274888">
            <w:pPr>
              <w:widowControl w:val="0"/>
              <w:spacing w:line="240" w:lineRule="auto"/>
              <w:rPr>
                <w:i/>
                <w:color w:val="434343"/>
              </w:rPr>
            </w:pPr>
            <w:r w:rsidRPr="00693FCB">
              <w:rPr>
                <w:b/>
                <w:bCs/>
              </w:rPr>
              <w:t>Ejes principales de la caja de cambios</w:t>
            </w:r>
          </w:p>
        </w:tc>
      </w:tr>
      <w:tr w:rsidR="00274888" w14:paraId="6996D894" w14:textId="77777777" w:rsidTr="00E63F38">
        <w:trPr>
          <w:trHeight w:val="420"/>
        </w:trPr>
        <w:tc>
          <w:tcPr>
            <w:tcW w:w="2325" w:type="dxa"/>
            <w:shd w:val="clear" w:color="auto" w:fill="auto"/>
            <w:tcMar>
              <w:top w:w="100" w:type="dxa"/>
              <w:left w:w="100" w:type="dxa"/>
              <w:bottom w:w="100" w:type="dxa"/>
              <w:right w:w="100" w:type="dxa"/>
            </w:tcMar>
          </w:tcPr>
          <w:p w14:paraId="7B844B83" w14:textId="77777777" w:rsidR="00274888" w:rsidRDefault="00274888" w:rsidP="00274888">
            <w:pPr>
              <w:widowControl w:val="0"/>
              <w:spacing w:line="240" w:lineRule="auto"/>
              <w:rPr>
                <w:b/>
              </w:rPr>
            </w:pPr>
            <w:r>
              <w:rPr>
                <w:b/>
              </w:rPr>
              <w:t>Texto descriptivo</w:t>
            </w:r>
          </w:p>
        </w:tc>
        <w:tc>
          <w:tcPr>
            <w:tcW w:w="12080" w:type="dxa"/>
            <w:gridSpan w:val="2"/>
            <w:shd w:val="clear" w:color="auto" w:fill="auto"/>
            <w:tcMar>
              <w:top w:w="100" w:type="dxa"/>
              <w:left w:w="100" w:type="dxa"/>
              <w:bottom w:w="100" w:type="dxa"/>
              <w:right w:w="100" w:type="dxa"/>
            </w:tcMar>
          </w:tcPr>
          <w:p w14:paraId="1D51E3A4" w14:textId="626B3532" w:rsidR="00274888" w:rsidRDefault="00274888" w:rsidP="00274888">
            <w:pPr>
              <w:widowControl w:val="0"/>
              <w:spacing w:line="240" w:lineRule="auto"/>
              <w:rPr>
                <w:color w:val="434343"/>
              </w:rPr>
            </w:pPr>
            <w:r w:rsidRPr="00693FCB">
              <w:t>La caja de cambios manual se compone, principalmente, de tres ejes de piñones y elementos de engranaje de marchas. No obstante, es fundamental considerar que este diseño puede variar en algunos componentes según el fabricante.</w:t>
            </w:r>
          </w:p>
        </w:tc>
      </w:tr>
      <w:tr w:rsidR="004337BD" w14:paraId="3E06EAC1" w14:textId="77777777" w:rsidTr="00E63F38">
        <w:trPr>
          <w:trHeight w:val="420"/>
        </w:trPr>
        <w:tc>
          <w:tcPr>
            <w:tcW w:w="2325" w:type="dxa"/>
            <w:shd w:val="clear" w:color="auto" w:fill="EFEFEF"/>
            <w:tcMar>
              <w:top w:w="100" w:type="dxa"/>
              <w:left w:w="100" w:type="dxa"/>
              <w:bottom w:w="100" w:type="dxa"/>
              <w:right w:w="100" w:type="dxa"/>
            </w:tcMar>
          </w:tcPr>
          <w:p w14:paraId="5AFF82FA" w14:textId="77777777" w:rsidR="004337BD" w:rsidRDefault="00274888">
            <w:pPr>
              <w:widowControl w:val="0"/>
              <w:spacing w:line="240" w:lineRule="auto"/>
              <w:rPr>
                <w:b/>
                <w:sz w:val="24"/>
                <w:szCs w:val="24"/>
              </w:rPr>
            </w:pPr>
            <w:r>
              <w:rPr>
                <w:b/>
                <w:sz w:val="24"/>
                <w:szCs w:val="24"/>
              </w:rPr>
              <w:t xml:space="preserve">Título </w:t>
            </w:r>
          </w:p>
        </w:tc>
        <w:tc>
          <w:tcPr>
            <w:tcW w:w="7764" w:type="dxa"/>
            <w:shd w:val="clear" w:color="auto" w:fill="EFEFEF"/>
            <w:tcMar>
              <w:top w:w="100" w:type="dxa"/>
              <w:left w:w="100" w:type="dxa"/>
              <w:bottom w:w="100" w:type="dxa"/>
              <w:right w:w="100" w:type="dxa"/>
            </w:tcMar>
          </w:tcPr>
          <w:p w14:paraId="1750892A" w14:textId="77777777" w:rsidR="004337BD" w:rsidRDefault="00274888">
            <w:pPr>
              <w:widowControl w:val="0"/>
              <w:spacing w:line="240" w:lineRule="auto"/>
              <w:rPr>
                <w:b/>
              </w:rPr>
            </w:pPr>
            <w:r>
              <w:rPr>
                <w:b/>
              </w:rPr>
              <w:t>Texto</w:t>
            </w:r>
          </w:p>
        </w:tc>
        <w:tc>
          <w:tcPr>
            <w:tcW w:w="4316" w:type="dxa"/>
            <w:shd w:val="clear" w:color="auto" w:fill="EFEFEF"/>
            <w:tcMar>
              <w:top w:w="100" w:type="dxa"/>
              <w:left w:w="100" w:type="dxa"/>
              <w:bottom w:w="100" w:type="dxa"/>
              <w:right w:w="100" w:type="dxa"/>
            </w:tcMar>
          </w:tcPr>
          <w:p w14:paraId="07AAC9A8" w14:textId="77777777" w:rsidR="004337BD" w:rsidRDefault="00274888">
            <w:pPr>
              <w:widowControl w:val="0"/>
              <w:spacing w:line="240" w:lineRule="auto"/>
              <w:rPr>
                <w:b/>
              </w:rPr>
            </w:pPr>
            <w:r>
              <w:rPr>
                <w:b/>
              </w:rPr>
              <w:t>Imagen de referencia (opcional)</w:t>
            </w:r>
          </w:p>
        </w:tc>
      </w:tr>
      <w:tr w:rsidR="00E63F38" w14:paraId="739FA107" w14:textId="77777777" w:rsidTr="00E63F38">
        <w:trPr>
          <w:trHeight w:val="570"/>
        </w:trPr>
        <w:tc>
          <w:tcPr>
            <w:tcW w:w="2325" w:type="dxa"/>
            <w:shd w:val="clear" w:color="auto" w:fill="auto"/>
            <w:tcMar>
              <w:top w:w="100" w:type="dxa"/>
              <w:left w:w="100" w:type="dxa"/>
              <w:bottom w:w="100" w:type="dxa"/>
              <w:right w:w="100" w:type="dxa"/>
            </w:tcMar>
          </w:tcPr>
          <w:p w14:paraId="2A68B4D9" w14:textId="1EDBE9CF" w:rsidR="00E63F38" w:rsidRDefault="00E63F38" w:rsidP="00E63F38">
            <w:pPr>
              <w:widowControl w:val="0"/>
              <w:spacing w:line="240" w:lineRule="auto"/>
            </w:pPr>
            <w:r w:rsidRPr="00875843">
              <w:t>Eje primario o eje de entrada</w:t>
            </w:r>
          </w:p>
        </w:tc>
        <w:tc>
          <w:tcPr>
            <w:tcW w:w="7764" w:type="dxa"/>
            <w:shd w:val="clear" w:color="auto" w:fill="auto"/>
            <w:tcMar>
              <w:top w:w="100" w:type="dxa"/>
              <w:left w:w="100" w:type="dxa"/>
              <w:bottom w:w="100" w:type="dxa"/>
              <w:right w:w="100" w:type="dxa"/>
            </w:tcMar>
          </w:tcPr>
          <w:p w14:paraId="7B87DFA8" w14:textId="75A57E6B" w:rsidR="00E63F38" w:rsidRDefault="00E63F38" w:rsidP="00E63F38">
            <w:pPr>
              <w:widowControl w:val="0"/>
              <w:spacing w:line="240" w:lineRule="auto"/>
              <w:rPr>
                <w:sz w:val="20"/>
                <w:szCs w:val="20"/>
              </w:rPr>
            </w:pPr>
            <w:r w:rsidRPr="00875843">
              <w:t>Este eje recibe el impulso del motor mediante el sistema de embrague. En su extremo inicial, está soportado por un rodamiento, mientras que en el extremo opuesto cuenta con un piñón de mando y un dentado para engranar con el collarín.</w:t>
            </w:r>
          </w:p>
        </w:tc>
        <w:tc>
          <w:tcPr>
            <w:tcW w:w="4316" w:type="dxa"/>
            <w:shd w:val="clear" w:color="auto" w:fill="auto"/>
            <w:tcMar>
              <w:top w:w="100" w:type="dxa"/>
              <w:left w:w="100" w:type="dxa"/>
              <w:bottom w:w="100" w:type="dxa"/>
              <w:right w:w="100" w:type="dxa"/>
            </w:tcMar>
          </w:tcPr>
          <w:p w14:paraId="2A9D67B0" w14:textId="518C0D5F" w:rsidR="00E63F38" w:rsidRDefault="00E63F38" w:rsidP="00E63F38">
            <w:pPr>
              <w:widowControl w:val="0"/>
              <w:spacing w:line="240" w:lineRule="auto"/>
              <w:rPr>
                <w:sz w:val="20"/>
                <w:szCs w:val="20"/>
              </w:rPr>
            </w:pPr>
            <w:commentRangeStart w:id="0"/>
            <w:commentRangeStart w:id="1"/>
            <w:r w:rsidRPr="00865C9B">
              <w:rPr>
                <w:noProof/>
              </w:rPr>
              <w:drawing>
                <wp:inline distT="0" distB="0" distL="0" distR="0" wp14:anchorId="04E9DCC4" wp14:editId="1AC70A38">
                  <wp:extent cx="2642235" cy="2285034"/>
                  <wp:effectExtent l="0" t="0" r="5715" b="1270"/>
                  <wp:docPr id="42611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12406" name=""/>
                          <pic:cNvPicPr/>
                        </pic:nvPicPr>
                        <pic:blipFill>
                          <a:blip r:embed="rId7"/>
                          <a:stretch>
                            <a:fillRect/>
                          </a:stretch>
                        </pic:blipFill>
                        <pic:spPr>
                          <a:xfrm>
                            <a:off x="0" y="0"/>
                            <a:ext cx="2647844" cy="2289885"/>
                          </a:xfrm>
                          <a:prstGeom prst="rect">
                            <a:avLst/>
                          </a:prstGeom>
                        </pic:spPr>
                      </pic:pic>
                    </a:graphicData>
                  </a:graphic>
                </wp:inline>
              </w:drawing>
            </w:r>
            <w:commentRangeEnd w:id="0"/>
            <w:r>
              <w:rPr>
                <w:rStyle w:val="CommentReference"/>
              </w:rPr>
              <w:commentReference w:id="0"/>
            </w:r>
            <w:commentRangeEnd w:id="1"/>
            <w:r>
              <w:rPr>
                <w:rStyle w:val="CommentReference"/>
              </w:rPr>
              <w:commentReference w:id="1"/>
            </w:r>
          </w:p>
        </w:tc>
      </w:tr>
      <w:tr w:rsidR="00E63F38" w14:paraId="64C70212" w14:textId="77777777" w:rsidTr="00E63F38">
        <w:trPr>
          <w:trHeight w:val="420"/>
        </w:trPr>
        <w:tc>
          <w:tcPr>
            <w:tcW w:w="2325" w:type="dxa"/>
            <w:shd w:val="clear" w:color="auto" w:fill="auto"/>
            <w:tcMar>
              <w:top w:w="100" w:type="dxa"/>
              <w:left w:w="100" w:type="dxa"/>
              <w:bottom w:w="100" w:type="dxa"/>
              <w:right w:w="100" w:type="dxa"/>
            </w:tcMar>
          </w:tcPr>
          <w:p w14:paraId="4DF17E6E" w14:textId="2065C3AF" w:rsidR="00E63F38" w:rsidRDefault="00E63F38" w:rsidP="00E63F38">
            <w:pPr>
              <w:widowControl w:val="0"/>
              <w:spacing w:line="240" w:lineRule="auto"/>
            </w:pPr>
            <w:r w:rsidRPr="00875843">
              <w:t>Eje intermediario</w:t>
            </w:r>
          </w:p>
        </w:tc>
        <w:tc>
          <w:tcPr>
            <w:tcW w:w="7764" w:type="dxa"/>
            <w:shd w:val="clear" w:color="auto" w:fill="auto"/>
            <w:tcMar>
              <w:top w:w="100" w:type="dxa"/>
              <w:left w:w="100" w:type="dxa"/>
              <w:bottom w:w="100" w:type="dxa"/>
              <w:right w:w="100" w:type="dxa"/>
            </w:tcMar>
          </w:tcPr>
          <w:p w14:paraId="077293EB" w14:textId="7B10DF05" w:rsidR="00E63F38" w:rsidRDefault="00E63F38" w:rsidP="00E63F38">
            <w:pPr>
              <w:widowControl w:val="0"/>
              <w:spacing w:line="240" w:lineRule="auto"/>
              <w:rPr>
                <w:sz w:val="20"/>
                <w:szCs w:val="20"/>
              </w:rPr>
            </w:pPr>
            <w:r w:rsidRPr="00875843">
              <w:t>El movimiento del eje primario se transmite al eje intermediario. En muchas cajas de cambios, este eje es un conjunto sólido de varios piñones que giran sobre un eje con rodamientos, generalmente del tipo de rodillos.</w:t>
            </w:r>
          </w:p>
        </w:tc>
        <w:tc>
          <w:tcPr>
            <w:tcW w:w="4316" w:type="dxa"/>
            <w:shd w:val="clear" w:color="auto" w:fill="auto"/>
            <w:tcMar>
              <w:top w:w="100" w:type="dxa"/>
              <w:left w:w="100" w:type="dxa"/>
              <w:bottom w:w="100" w:type="dxa"/>
              <w:right w:w="100" w:type="dxa"/>
            </w:tcMar>
          </w:tcPr>
          <w:p w14:paraId="78836BAF" w14:textId="5148C9D6" w:rsidR="00E63F38" w:rsidRDefault="00E63F38" w:rsidP="00E63F38">
            <w:pPr>
              <w:widowControl w:val="0"/>
              <w:spacing w:line="240" w:lineRule="auto"/>
              <w:rPr>
                <w:sz w:val="20"/>
                <w:szCs w:val="20"/>
              </w:rPr>
            </w:pPr>
            <w:r w:rsidRPr="00C140BD">
              <w:rPr>
                <w:noProof/>
              </w:rPr>
              <w:drawing>
                <wp:inline distT="0" distB="0" distL="0" distR="0" wp14:anchorId="7073FCDE" wp14:editId="2CB8C098">
                  <wp:extent cx="2513466" cy="971550"/>
                  <wp:effectExtent l="0" t="0" r="1270" b="0"/>
                  <wp:docPr id="108271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12021" name=""/>
                          <pic:cNvPicPr/>
                        </pic:nvPicPr>
                        <pic:blipFill rotWithShape="1">
                          <a:blip r:embed="rId12"/>
                          <a:srcRect b="5497"/>
                          <a:stretch/>
                        </pic:blipFill>
                        <pic:spPr bwMode="auto">
                          <a:xfrm>
                            <a:off x="0" y="0"/>
                            <a:ext cx="2523373" cy="975379"/>
                          </a:xfrm>
                          <a:prstGeom prst="rect">
                            <a:avLst/>
                          </a:prstGeom>
                          <a:ln>
                            <a:noFill/>
                          </a:ln>
                          <a:extLst>
                            <a:ext uri="{53640926-AAD7-44D8-BBD7-CCE9431645EC}">
                              <a14:shadowObscured xmlns:a14="http://schemas.microsoft.com/office/drawing/2010/main"/>
                            </a:ext>
                          </a:extLst>
                        </pic:spPr>
                      </pic:pic>
                    </a:graphicData>
                  </a:graphic>
                </wp:inline>
              </w:drawing>
            </w:r>
          </w:p>
        </w:tc>
      </w:tr>
      <w:tr w:rsidR="00E63F38" w14:paraId="40330099" w14:textId="77777777" w:rsidTr="00E63F38">
        <w:trPr>
          <w:trHeight w:val="420"/>
        </w:trPr>
        <w:tc>
          <w:tcPr>
            <w:tcW w:w="2325" w:type="dxa"/>
            <w:shd w:val="clear" w:color="auto" w:fill="auto"/>
            <w:tcMar>
              <w:top w:w="100" w:type="dxa"/>
              <w:left w:w="100" w:type="dxa"/>
              <w:bottom w:w="100" w:type="dxa"/>
              <w:right w:w="100" w:type="dxa"/>
            </w:tcMar>
          </w:tcPr>
          <w:p w14:paraId="41A76327" w14:textId="46C14915" w:rsidR="00E63F38" w:rsidRDefault="00E63F38" w:rsidP="00E63F38">
            <w:pPr>
              <w:widowControl w:val="0"/>
              <w:spacing w:line="240" w:lineRule="auto"/>
            </w:pPr>
            <w:r w:rsidRPr="00875843">
              <w:t>Eje secundario o de salida</w:t>
            </w:r>
          </w:p>
        </w:tc>
        <w:tc>
          <w:tcPr>
            <w:tcW w:w="7764" w:type="dxa"/>
            <w:shd w:val="clear" w:color="auto" w:fill="auto"/>
            <w:tcMar>
              <w:top w:w="100" w:type="dxa"/>
              <w:left w:w="100" w:type="dxa"/>
              <w:bottom w:w="100" w:type="dxa"/>
              <w:right w:w="100" w:type="dxa"/>
            </w:tcMar>
          </w:tcPr>
          <w:p w14:paraId="0D39B4E2" w14:textId="001D7782" w:rsidR="00E63F38" w:rsidRDefault="00E63F38" w:rsidP="00E63F38">
            <w:pPr>
              <w:widowControl w:val="0"/>
              <w:spacing w:line="240" w:lineRule="auto"/>
              <w:rPr>
                <w:sz w:val="20"/>
                <w:szCs w:val="20"/>
              </w:rPr>
            </w:pPr>
            <w:r w:rsidRPr="00875843">
              <w:t>Los piñones del eje intermediario engranan con los piñones individuales de cada marcha del eje secundario. Estos piñones están montados sobre rodamientos y giran libremente hasta que el collarín los conecta con el eje, transmitiendo el movimiento hacia las ruedas.</w:t>
            </w:r>
          </w:p>
        </w:tc>
        <w:tc>
          <w:tcPr>
            <w:tcW w:w="4316" w:type="dxa"/>
            <w:shd w:val="clear" w:color="auto" w:fill="auto"/>
            <w:tcMar>
              <w:top w:w="100" w:type="dxa"/>
              <w:left w:w="100" w:type="dxa"/>
              <w:bottom w:w="100" w:type="dxa"/>
              <w:right w:w="100" w:type="dxa"/>
            </w:tcMar>
          </w:tcPr>
          <w:p w14:paraId="1DB191CC" w14:textId="057E77A5" w:rsidR="00E63F38" w:rsidRDefault="00E63F38" w:rsidP="00E63F38">
            <w:pPr>
              <w:widowControl w:val="0"/>
              <w:spacing w:line="240" w:lineRule="auto"/>
              <w:rPr>
                <w:sz w:val="20"/>
                <w:szCs w:val="20"/>
              </w:rPr>
            </w:pPr>
            <w:r w:rsidRPr="00A94C0B">
              <w:rPr>
                <w:noProof/>
              </w:rPr>
              <w:drawing>
                <wp:inline distT="0" distB="0" distL="0" distR="0" wp14:anchorId="5FC09802" wp14:editId="7A946D3C">
                  <wp:extent cx="2781299" cy="1384182"/>
                  <wp:effectExtent l="0" t="0" r="635" b="6985"/>
                  <wp:docPr id="57269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96145" name=""/>
                          <pic:cNvPicPr/>
                        </pic:nvPicPr>
                        <pic:blipFill>
                          <a:blip r:embed="rId13"/>
                          <a:stretch>
                            <a:fillRect/>
                          </a:stretch>
                        </pic:blipFill>
                        <pic:spPr>
                          <a:xfrm>
                            <a:off x="0" y="0"/>
                            <a:ext cx="2789538" cy="1388283"/>
                          </a:xfrm>
                          <a:prstGeom prst="rect">
                            <a:avLst/>
                          </a:prstGeom>
                        </pic:spPr>
                      </pic:pic>
                    </a:graphicData>
                  </a:graphic>
                </wp:inline>
              </w:drawing>
            </w:r>
          </w:p>
        </w:tc>
      </w:tr>
    </w:tbl>
    <w:p w14:paraId="7FAABDFA" w14:textId="77777777" w:rsidR="004337BD" w:rsidRDefault="004337BD">
      <w:pPr>
        <w:spacing w:line="240" w:lineRule="auto"/>
        <w:rPr>
          <w:b/>
        </w:rPr>
      </w:pPr>
    </w:p>
    <w:sectPr w:rsidR="004337BD">
      <w:headerReference w:type="default" r:id="rId14"/>
      <w:footerReference w:type="default" r:id="rId15"/>
      <w:pgSz w:w="15840" w:h="12240" w:orient="landscape"/>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ola Moya" w:date="2024-12-04T17:31:00Z" w:initials="PM">
    <w:p w14:paraId="60DFD6F7" w14:textId="77777777" w:rsidR="00E63F38" w:rsidRDefault="00E63F38" w:rsidP="00380AAA">
      <w:pPr>
        <w:pStyle w:val="CommentText"/>
      </w:pPr>
      <w:r>
        <w:rPr>
          <w:rStyle w:val="CommentReference"/>
        </w:rPr>
        <w:annotationRef/>
      </w:r>
      <w:r>
        <w:rPr>
          <w:highlight w:val="magenta"/>
        </w:rPr>
        <w:t>Texto alternativo</w:t>
      </w:r>
      <w:r>
        <w:t xml:space="preserve">: </w:t>
      </w:r>
      <w:r>
        <w:rPr>
          <w:color w:val="0D0D0D"/>
          <w:highlight w:val="white"/>
        </w:rPr>
        <w:t>Diagrama de un eje primario extraído de su carcasa por una mano. La carcasa y el conjunto de engranajes están claramente identificados.</w:t>
      </w:r>
      <w:r>
        <w:t xml:space="preserve"> </w:t>
      </w:r>
    </w:p>
  </w:comment>
  <w:comment w:id="1" w:author="Paola Moya" w:date="2024-12-04T18:36:00Z" w:initials="PM">
    <w:p w14:paraId="0646ACA8" w14:textId="77777777" w:rsidR="00E63F38" w:rsidRDefault="00E63F38" w:rsidP="00092349">
      <w:pPr>
        <w:pStyle w:val="CommentText"/>
      </w:pPr>
      <w:r>
        <w:rPr>
          <w:rStyle w:val="CommentReference"/>
        </w:rPr>
        <w:annotationRef/>
      </w:r>
      <w:r>
        <w:t xml:space="preserve">Rediseñar </w:t>
      </w:r>
    </w:p>
    <w:p w14:paraId="605A6439" w14:textId="77777777" w:rsidR="00E63F38" w:rsidRDefault="00E63F38" w:rsidP="00C8739A">
      <w:pPr>
        <w:pStyle w:val="CommentText"/>
        <w:numPr>
          <w:ilvl w:val="0"/>
          <w:numId w:val="1"/>
        </w:numPr>
      </w:pPr>
      <w:r>
        <w:rPr>
          <w:color w:val="0D0D0D"/>
          <w:highlight w:val="white"/>
        </w:rPr>
        <w:t>Eje primario</w:t>
      </w:r>
    </w:p>
    <w:p w14:paraId="06C3CB95" w14:textId="77777777" w:rsidR="00E63F38" w:rsidRDefault="00E63F38" w:rsidP="00C8739A">
      <w:pPr>
        <w:pStyle w:val="CommentText"/>
        <w:numPr>
          <w:ilvl w:val="0"/>
          <w:numId w:val="1"/>
        </w:numPr>
      </w:pPr>
      <w:r>
        <w:rPr>
          <w:color w:val="0D0D0D"/>
          <w:highlight w:val="white"/>
        </w:rPr>
        <w:t>Carcasa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DFD6F7" w15:done="0"/>
  <w15:commentEx w15:paraId="06C3CB95" w15:paraIdParent="60DFD6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79E0B2" w16cex:dateUtc="2024-12-04T22:31:00Z"/>
  <w16cex:commentExtensible w16cex:durableId="3BC1E6D1" w16cex:dateUtc="2024-12-04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DFD6F7" w16cid:durableId="3579E0B2"/>
  <w16cid:commentId w16cid:paraId="06C3CB95" w16cid:durableId="3BC1E6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33A48" w14:textId="77777777" w:rsidR="00BB646C" w:rsidRDefault="00BB646C">
      <w:pPr>
        <w:spacing w:line="240" w:lineRule="auto"/>
      </w:pPr>
      <w:r>
        <w:separator/>
      </w:r>
    </w:p>
  </w:endnote>
  <w:endnote w:type="continuationSeparator" w:id="0">
    <w:p w14:paraId="68994AEA" w14:textId="77777777" w:rsidR="00BB646C" w:rsidRDefault="00BB6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45155" w14:textId="77777777" w:rsidR="004337BD" w:rsidRDefault="004337BD">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8F51F" w14:textId="77777777" w:rsidR="00BB646C" w:rsidRDefault="00BB646C">
      <w:pPr>
        <w:spacing w:line="240" w:lineRule="auto"/>
      </w:pPr>
      <w:r>
        <w:separator/>
      </w:r>
    </w:p>
  </w:footnote>
  <w:footnote w:type="continuationSeparator" w:id="0">
    <w:p w14:paraId="38C55848" w14:textId="77777777" w:rsidR="00BB646C" w:rsidRDefault="00BB64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CB0D5" w14:textId="77777777" w:rsidR="004337BD" w:rsidRDefault="00274888">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343BC15E" wp14:editId="737601E5">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1133AABA" wp14:editId="062950DB">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7A0F8645" w14:textId="77777777" w:rsidR="004337BD" w:rsidRDefault="00274888">
                          <w:pPr>
                            <w:spacing w:line="240" w:lineRule="auto"/>
                            <w:textDirection w:val="btLr"/>
                          </w:pPr>
                          <w:r>
                            <w:rPr>
                              <w:b/>
                              <w:color w:val="000000"/>
                            </w:rPr>
                            <w:t xml:space="preserve">FORMATO DE DISEÑO INSTRUCCIONAL </w:t>
                          </w:r>
                        </w:p>
                        <w:p w14:paraId="409F056B" w14:textId="77777777" w:rsidR="004337BD" w:rsidRDefault="00274888">
                          <w:pPr>
                            <w:spacing w:line="275" w:lineRule="auto"/>
                            <w:textDirection w:val="btLr"/>
                          </w:pPr>
                          <w:r>
                            <w:rPr>
                              <w:b/>
                              <w:color w:val="000000"/>
                            </w:rPr>
                            <w:t>COMPONENTES WEB PARA DIAGRAMACIÓN DE CONTENIDO</w:t>
                          </w:r>
                        </w:p>
                        <w:p w14:paraId="2F9FB98E" w14:textId="77777777" w:rsidR="004337BD" w:rsidRDefault="004337BD">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1133AABA" id="Rectangle 1" o:spid="_x0000_s1026"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" filled="f" stroked="f">
              <v:textbox inset="2.53958mm,1.2694mm,2.53958mm,1.2694mm">
                <w:txbxContent>
                  <w:p w14:paraId="7A0F8645" w14:textId="77777777" w:rsidR="004337BD" w:rsidRDefault="00274888">
                    <w:pPr>
                      <w:spacing w:line="240" w:lineRule="auto"/>
                      <w:textDirection w:val="btLr"/>
                    </w:pPr>
                    <w:r>
                      <w:rPr>
                        <w:b/>
                        <w:color w:val="000000"/>
                      </w:rPr>
                      <w:t xml:space="preserve">FORMATO DE DISEÑO INSTRUCCIONAL </w:t>
                    </w:r>
                  </w:p>
                  <w:p w14:paraId="409F056B" w14:textId="77777777" w:rsidR="004337BD" w:rsidRDefault="00274888">
                    <w:pPr>
                      <w:spacing w:line="275" w:lineRule="auto"/>
                      <w:textDirection w:val="btLr"/>
                    </w:pPr>
                    <w:r>
                      <w:rPr>
                        <w:b/>
                        <w:color w:val="000000"/>
                      </w:rPr>
                      <w:t>COMPONENTES WEB PARA DIAGRAMACIÓN DE CONTENIDO</w:t>
                    </w:r>
                  </w:p>
                  <w:p w14:paraId="2F9FB98E" w14:textId="77777777" w:rsidR="004337BD" w:rsidRDefault="004337BD">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7526B"/>
    <w:multiLevelType w:val="hybridMultilevel"/>
    <w:tmpl w:val="552ABD36"/>
    <w:lvl w:ilvl="0" w:tplc="36FE0652">
      <w:start w:val="1"/>
      <w:numFmt w:val="bullet"/>
      <w:lvlText w:val=""/>
      <w:lvlJc w:val="left"/>
      <w:pPr>
        <w:ind w:left="1080" w:hanging="360"/>
      </w:pPr>
      <w:rPr>
        <w:rFonts w:ascii="Symbol" w:hAnsi="Symbol"/>
      </w:rPr>
    </w:lvl>
    <w:lvl w:ilvl="1" w:tplc="B476C6CE">
      <w:start w:val="1"/>
      <w:numFmt w:val="bullet"/>
      <w:lvlText w:val=""/>
      <w:lvlJc w:val="left"/>
      <w:pPr>
        <w:ind w:left="1080" w:hanging="360"/>
      </w:pPr>
      <w:rPr>
        <w:rFonts w:ascii="Symbol" w:hAnsi="Symbol"/>
      </w:rPr>
    </w:lvl>
    <w:lvl w:ilvl="2" w:tplc="4D5AE8F2">
      <w:start w:val="1"/>
      <w:numFmt w:val="bullet"/>
      <w:lvlText w:val=""/>
      <w:lvlJc w:val="left"/>
      <w:pPr>
        <w:ind w:left="1080" w:hanging="360"/>
      </w:pPr>
      <w:rPr>
        <w:rFonts w:ascii="Symbol" w:hAnsi="Symbol"/>
      </w:rPr>
    </w:lvl>
    <w:lvl w:ilvl="3" w:tplc="227071FC">
      <w:start w:val="1"/>
      <w:numFmt w:val="bullet"/>
      <w:lvlText w:val=""/>
      <w:lvlJc w:val="left"/>
      <w:pPr>
        <w:ind w:left="1080" w:hanging="360"/>
      </w:pPr>
      <w:rPr>
        <w:rFonts w:ascii="Symbol" w:hAnsi="Symbol"/>
      </w:rPr>
    </w:lvl>
    <w:lvl w:ilvl="4" w:tplc="3B56DC2A">
      <w:start w:val="1"/>
      <w:numFmt w:val="bullet"/>
      <w:lvlText w:val=""/>
      <w:lvlJc w:val="left"/>
      <w:pPr>
        <w:ind w:left="1080" w:hanging="360"/>
      </w:pPr>
      <w:rPr>
        <w:rFonts w:ascii="Symbol" w:hAnsi="Symbol"/>
      </w:rPr>
    </w:lvl>
    <w:lvl w:ilvl="5" w:tplc="CC789BE8">
      <w:start w:val="1"/>
      <w:numFmt w:val="bullet"/>
      <w:lvlText w:val=""/>
      <w:lvlJc w:val="left"/>
      <w:pPr>
        <w:ind w:left="1080" w:hanging="360"/>
      </w:pPr>
      <w:rPr>
        <w:rFonts w:ascii="Symbol" w:hAnsi="Symbol"/>
      </w:rPr>
    </w:lvl>
    <w:lvl w:ilvl="6" w:tplc="932229A6">
      <w:start w:val="1"/>
      <w:numFmt w:val="bullet"/>
      <w:lvlText w:val=""/>
      <w:lvlJc w:val="left"/>
      <w:pPr>
        <w:ind w:left="1080" w:hanging="360"/>
      </w:pPr>
      <w:rPr>
        <w:rFonts w:ascii="Symbol" w:hAnsi="Symbol"/>
      </w:rPr>
    </w:lvl>
    <w:lvl w:ilvl="7" w:tplc="33443126">
      <w:start w:val="1"/>
      <w:numFmt w:val="bullet"/>
      <w:lvlText w:val=""/>
      <w:lvlJc w:val="left"/>
      <w:pPr>
        <w:ind w:left="1080" w:hanging="360"/>
      </w:pPr>
      <w:rPr>
        <w:rFonts w:ascii="Symbol" w:hAnsi="Symbol"/>
      </w:rPr>
    </w:lvl>
    <w:lvl w:ilvl="8" w:tplc="09C8A39E">
      <w:start w:val="1"/>
      <w:numFmt w:val="bullet"/>
      <w:lvlText w:val=""/>
      <w:lvlJc w:val="left"/>
      <w:pPr>
        <w:ind w:left="1080" w:hanging="360"/>
      </w:pPr>
      <w:rPr>
        <w:rFonts w:ascii="Symbol" w:hAnsi="Symbol"/>
      </w:rPr>
    </w:lvl>
  </w:abstractNum>
  <w:num w:numId="1" w16cid:durableId="8323809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ola Moya">
    <w15:presenceInfo w15:providerId="Windows Live" w15:userId="7d86fcc7f75c18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7BD"/>
    <w:rsid w:val="00274888"/>
    <w:rsid w:val="004337BD"/>
    <w:rsid w:val="008B5F57"/>
    <w:rsid w:val="009C030E"/>
    <w:rsid w:val="00A51A1C"/>
    <w:rsid w:val="00BB646C"/>
    <w:rsid w:val="00E63F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DF11"/>
  <w15:docId w15:val="{3430EFF6-6C49-4A4D-8AC1-80C9AD6E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E63F38"/>
    <w:rPr>
      <w:sz w:val="16"/>
      <w:szCs w:val="16"/>
    </w:rPr>
  </w:style>
  <w:style w:type="paragraph" w:styleId="CommentText">
    <w:name w:val="annotation text"/>
    <w:basedOn w:val="Normal"/>
    <w:link w:val="CommentTextChar"/>
    <w:uiPriority w:val="99"/>
    <w:unhideWhenUsed/>
    <w:rsid w:val="00E63F38"/>
    <w:pPr>
      <w:spacing w:before="120" w:after="120" w:line="240" w:lineRule="auto"/>
    </w:pPr>
    <w:rPr>
      <w:sz w:val="20"/>
      <w:szCs w:val="20"/>
      <w:lang w:val="es-CO" w:eastAsia="ja-JP"/>
    </w:rPr>
  </w:style>
  <w:style w:type="character" w:customStyle="1" w:styleId="CommentTextChar">
    <w:name w:val="Comment Text Char"/>
    <w:basedOn w:val="DefaultParagraphFont"/>
    <w:link w:val="CommentText"/>
    <w:uiPriority w:val="99"/>
    <w:rsid w:val="00E63F38"/>
    <w:rPr>
      <w:sz w:val="20"/>
      <w:szCs w:val="20"/>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customXml" Target="../customXml/item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466BB2F-1E8F-4381-80BE-BE1A53D36562}"/>
</file>

<file path=customXml/itemProps2.xml><?xml version="1.0" encoding="utf-8"?>
<ds:datastoreItem xmlns:ds="http://schemas.openxmlformats.org/officeDocument/2006/customXml" ds:itemID="{093B36B2-0FAE-4AB9-903B-8571BCF18E5F}"/>
</file>

<file path=customXml/itemProps3.xml><?xml version="1.0" encoding="utf-8"?>
<ds:datastoreItem xmlns:ds="http://schemas.openxmlformats.org/officeDocument/2006/customXml" ds:itemID="{05D4F827-B2BA-457D-8D92-11846A226F81}"/>
</file>

<file path=docProps/app.xml><?xml version="1.0" encoding="utf-8"?>
<Properties xmlns="http://schemas.openxmlformats.org/officeDocument/2006/extended-properties" xmlns:vt="http://schemas.openxmlformats.org/officeDocument/2006/docPropsVTypes">
  <Template>Normal.dotm</Template>
  <TotalTime>0</TotalTime>
  <Pages>2</Pages>
  <Words>180</Words>
  <Characters>994</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Moya</cp:lastModifiedBy>
  <cp:revision>4</cp:revision>
  <dcterms:created xsi:type="dcterms:W3CDTF">2024-10-30T00:33:00Z</dcterms:created>
  <dcterms:modified xsi:type="dcterms:W3CDTF">2024-12-04T23:58:00Z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