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FEC5D" w14:textId="77777777" w:rsidR="00CE7131" w:rsidRDefault="00CE7131">
      <w:pPr>
        <w:spacing w:line="240" w:lineRule="auto"/>
        <w:rPr>
          <w:b/>
        </w:rPr>
      </w:pPr>
    </w:p>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3379"/>
        <w:gridCol w:w="8456"/>
      </w:tblGrid>
      <w:tr w:rsidR="00CE7131" w14:paraId="459DF34D" w14:textId="77777777">
        <w:trPr>
          <w:trHeight w:val="440"/>
        </w:trPr>
        <w:tc>
          <w:tcPr>
            <w:tcW w:w="14400" w:type="dxa"/>
            <w:gridSpan w:val="3"/>
            <w:shd w:val="clear" w:color="auto" w:fill="FCE5CD"/>
            <w:tcMar>
              <w:top w:w="100" w:type="dxa"/>
              <w:left w:w="100" w:type="dxa"/>
              <w:bottom w:w="100" w:type="dxa"/>
              <w:right w:w="100" w:type="dxa"/>
            </w:tcMar>
          </w:tcPr>
          <w:p w14:paraId="148B7897" w14:textId="77777777" w:rsidR="00CE7131" w:rsidRDefault="00B91015">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(Títulos)</w:t>
            </w:r>
          </w:p>
        </w:tc>
      </w:tr>
      <w:tr w:rsidR="00CE7131" w14:paraId="02F6FAEA" w14:textId="77777777">
        <w:tc>
          <w:tcPr>
            <w:tcW w:w="2565" w:type="dxa"/>
            <w:shd w:val="clear" w:color="auto" w:fill="FCE5CD"/>
            <w:tcMar>
              <w:top w:w="100" w:type="dxa"/>
              <w:left w:w="100" w:type="dxa"/>
              <w:bottom w:w="100" w:type="dxa"/>
              <w:right w:w="100" w:type="dxa"/>
            </w:tcMar>
          </w:tcPr>
          <w:p w14:paraId="578B9E86" w14:textId="77777777" w:rsidR="00CE7131" w:rsidRDefault="00B91015">
            <w:pPr>
              <w:widowControl w:val="0"/>
              <w:spacing w:line="240" w:lineRule="auto"/>
              <w:rPr>
                <w:b/>
                <w:sz w:val="20"/>
                <w:szCs w:val="20"/>
              </w:rPr>
            </w:pPr>
            <w:r>
              <w:rPr>
                <w:b/>
                <w:sz w:val="20"/>
                <w:szCs w:val="20"/>
              </w:rPr>
              <w:t>Indicaciones</w:t>
            </w:r>
          </w:p>
        </w:tc>
        <w:tc>
          <w:tcPr>
            <w:tcW w:w="11835" w:type="dxa"/>
            <w:gridSpan w:val="2"/>
            <w:shd w:val="clear" w:color="auto" w:fill="FCE5CD"/>
            <w:tcMar>
              <w:top w:w="100" w:type="dxa"/>
              <w:left w:w="100" w:type="dxa"/>
              <w:bottom w:w="100" w:type="dxa"/>
              <w:right w:w="100" w:type="dxa"/>
            </w:tcMar>
          </w:tcPr>
          <w:p w14:paraId="224D5472" w14:textId="77777777" w:rsidR="00CE7131" w:rsidRDefault="00B91015">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0BAD641F" w14:textId="77777777" w:rsidR="00CE7131" w:rsidRDefault="00B91015">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14:paraId="15E6B069" w14:textId="77777777" w:rsidR="00CE7131" w:rsidRDefault="00B91015">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4E0A79FF" w14:textId="77777777" w:rsidR="00CE7131" w:rsidRDefault="00B91015">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CE7131" w14:paraId="4BCD9165" w14:textId="77777777">
        <w:tc>
          <w:tcPr>
            <w:tcW w:w="2565" w:type="dxa"/>
            <w:shd w:val="clear" w:color="auto" w:fill="FCE5CD"/>
            <w:tcMar>
              <w:top w:w="100" w:type="dxa"/>
              <w:left w:w="100" w:type="dxa"/>
              <w:bottom w:w="100" w:type="dxa"/>
              <w:right w:w="100" w:type="dxa"/>
            </w:tcMar>
          </w:tcPr>
          <w:p w14:paraId="58049D3A" w14:textId="77777777" w:rsidR="00CE7131" w:rsidRDefault="00B91015">
            <w:pPr>
              <w:widowControl w:val="0"/>
              <w:spacing w:line="240" w:lineRule="auto"/>
              <w:rPr>
                <w:b/>
              </w:rPr>
            </w:pPr>
            <w:r>
              <w:rPr>
                <w:b/>
              </w:rPr>
              <w:t>Título</w:t>
            </w:r>
          </w:p>
        </w:tc>
        <w:tc>
          <w:tcPr>
            <w:tcW w:w="11835" w:type="dxa"/>
            <w:gridSpan w:val="2"/>
            <w:shd w:val="clear" w:color="auto" w:fill="auto"/>
            <w:tcMar>
              <w:top w:w="100" w:type="dxa"/>
              <w:left w:w="100" w:type="dxa"/>
              <w:bottom w:w="100" w:type="dxa"/>
              <w:right w:w="100" w:type="dxa"/>
            </w:tcMar>
          </w:tcPr>
          <w:p w14:paraId="44109915" w14:textId="269A55D6" w:rsidR="00CE7131" w:rsidRDefault="00B91015">
            <w:pPr>
              <w:widowControl w:val="0"/>
              <w:spacing w:line="240" w:lineRule="auto"/>
              <w:rPr>
                <w:color w:val="434343"/>
                <w:sz w:val="20"/>
                <w:szCs w:val="20"/>
              </w:rPr>
            </w:pPr>
            <w:r w:rsidRPr="008726AD">
              <w:rPr>
                <w:b/>
                <w:bCs/>
              </w:rPr>
              <w:t>Collarín de engrane y anillos sincronizadores</w:t>
            </w:r>
          </w:p>
        </w:tc>
      </w:tr>
      <w:tr w:rsidR="00CE7131" w14:paraId="64DE09A1" w14:textId="77777777">
        <w:tc>
          <w:tcPr>
            <w:tcW w:w="2565" w:type="dxa"/>
            <w:shd w:val="clear" w:color="auto" w:fill="FCE5CD"/>
            <w:tcMar>
              <w:top w:w="100" w:type="dxa"/>
              <w:left w:w="100" w:type="dxa"/>
              <w:bottom w:w="100" w:type="dxa"/>
              <w:right w:w="100" w:type="dxa"/>
            </w:tcMar>
          </w:tcPr>
          <w:p w14:paraId="284FB692" w14:textId="77777777" w:rsidR="00CE7131" w:rsidRDefault="00B91015">
            <w:pPr>
              <w:widowControl w:val="0"/>
              <w:spacing w:line="240" w:lineRule="auto"/>
              <w:rPr>
                <w:b/>
                <w:sz w:val="20"/>
                <w:szCs w:val="20"/>
              </w:rPr>
            </w:pPr>
            <w:r>
              <w:rPr>
                <w:b/>
                <w:sz w:val="20"/>
                <w:szCs w:val="20"/>
              </w:rPr>
              <w:t>Texto descriptivo</w:t>
            </w:r>
          </w:p>
        </w:tc>
        <w:tc>
          <w:tcPr>
            <w:tcW w:w="11835" w:type="dxa"/>
            <w:gridSpan w:val="2"/>
            <w:shd w:val="clear" w:color="auto" w:fill="auto"/>
            <w:tcMar>
              <w:top w:w="100" w:type="dxa"/>
              <w:left w:w="100" w:type="dxa"/>
              <w:bottom w:w="100" w:type="dxa"/>
              <w:right w:w="100" w:type="dxa"/>
            </w:tcMar>
          </w:tcPr>
          <w:p w14:paraId="151BC194" w14:textId="777A9258" w:rsidR="00CE7131" w:rsidRDefault="00DE7C12">
            <w:pPr>
              <w:widowControl w:val="0"/>
              <w:spacing w:line="240" w:lineRule="auto"/>
              <w:rPr>
                <w:color w:val="434343"/>
                <w:sz w:val="20"/>
                <w:szCs w:val="20"/>
              </w:rPr>
            </w:pPr>
            <w:r w:rsidRPr="0059067F">
              <w:t>Para mantener al collarín en la posición central, es decir, en "neutro", cuando no se desplaza, se han instalado tres chavetas con sus muelles de anillo. Cuando el collarín es empujado para desplazarse sobre el estriado, las chavetas comprimen los muelles y permiten al collarín desplazarse para engranar.</w:t>
            </w:r>
          </w:p>
        </w:tc>
      </w:tr>
      <w:tr w:rsidR="00CE7131" w14:paraId="711BB166" w14:textId="77777777" w:rsidTr="00AF7225">
        <w:trPr>
          <w:trHeight w:val="420"/>
        </w:trPr>
        <w:tc>
          <w:tcPr>
            <w:tcW w:w="2565" w:type="dxa"/>
            <w:shd w:val="clear" w:color="auto" w:fill="EFEFEF"/>
            <w:tcMar>
              <w:top w:w="100" w:type="dxa"/>
              <w:left w:w="100" w:type="dxa"/>
              <w:bottom w:w="100" w:type="dxa"/>
              <w:right w:w="100" w:type="dxa"/>
            </w:tcMar>
          </w:tcPr>
          <w:p w14:paraId="35244E8A" w14:textId="77777777" w:rsidR="00CE7131" w:rsidRDefault="00B91015">
            <w:pPr>
              <w:widowControl w:val="0"/>
              <w:spacing w:line="240" w:lineRule="auto"/>
              <w:jc w:val="center"/>
              <w:rPr>
                <w:b/>
                <w:sz w:val="24"/>
                <w:szCs w:val="24"/>
              </w:rPr>
            </w:pPr>
            <w:r>
              <w:rPr>
                <w:b/>
                <w:sz w:val="24"/>
                <w:szCs w:val="24"/>
              </w:rPr>
              <w:t xml:space="preserve">Título </w:t>
            </w:r>
          </w:p>
        </w:tc>
        <w:tc>
          <w:tcPr>
            <w:tcW w:w="3379" w:type="dxa"/>
            <w:shd w:val="clear" w:color="auto" w:fill="EFEFEF"/>
            <w:tcMar>
              <w:top w:w="100" w:type="dxa"/>
              <w:left w:w="100" w:type="dxa"/>
              <w:bottom w:w="100" w:type="dxa"/>
              <w:right w:w="100" w:type="dxa"/>
            </w:tcMar>
          </w:tcPr>
          <w:p w14:paraId="4CE5D0EF" w14:textId="77777777" w:rsidR="00CE7131" w:rsidRDefault="00B91015">
            <w:pPr>
              <w:widowControl w:val="0"/>
              <w:spacing w:line="240" w:lineRule="auto"/>
              <w:jc w:val="center"/>
              <w:rPr>
                <w:b/>
              </w:rPr>
            </w:pPr>
            <w:r>
              <w:rPr>
                <w:b/>
              </w:rPr>
              <w:t>Texto</w:t>
            </w:r>
          </w:p>
        </w:tc>
        <w:tc>
          <w:tcPr>
            <w:tcW w:w="8456" w:type="dxa"/>
            <w:shd w:val="clear" w:color="auto" w:fill="EFEFEF"/>
            <w:tcMar>
              <w:top w:w="100" w:type="dxa"/>
              <w:left w:w="100" w:type="dxa"/>
              <w:bottom w:w="100" w:type="dxa"/>
              <w:right w:w="100" w:type="dxa"/>
            </w:tcMar>
          </w:tcPr>
          <w:p w14:paraId="278D41A2" w14:textId="77777777" w:rsidR="00CE7131" w:rsidRDefault="00B91015">
            <w:pPr>
              <w:widowControl w:val="0"/>
              <w:jc w:val="center"/>
              <w:rPr>
                <w:b/>
              </w:rPr>
            </w:pPr>
            <w:r>
              <w:rPr>
                <w:b/>
              </w:rPr>
              <w:t>Imagen (obligatoria)</w:t>
            </w:r>
          </w:p>
        </w:tc>
      </w:tr>
      <w:tr w:rsidR="00AF7225" w14:paraId="6B20C7B7" w14:textId="77777777" w:rsidTr="00AF7225">
        <w:trPr>
          <w:trHeight w:val="168"/>
        </w:trPr>
        <w:tc>
          <w:tcPr>
            <w:tcW w:w="2565" w:type="dxa"/>
            <w:shd w:val="clear" w:color="auto" w:fill="auto"/>
            <w:tcMar>
              <w:top w:w="100" w:type="dxa"/>
              <w:left w:w="100" w:type="dxa"/>
              <w:bottom w:w="100" w:type="dxa"/>
              <w:right w:w="100" w:type="dxa"/>
            </w:tcMar>
          </w:tcPr>
          <w:p w14:paraId="4E71962E" w14:textId="51B6EEDF" w:rsidR="00AF7225" w:rsidRDefault="00AF7225" w:rsidP="00AF7225">
            <w:pPr>
              <w:widowControl w:val="0"/>
              <w:spacing w:line="240" w:lineRule="auto"/>
              <w:rPr>
                <w:i/>
                <w:color w:val="434343"/>
              </w:rPr>
            </w:pPr>
            <w:r w:rsidRPr="0059067F">
              <w:rPr>
                <w:b/>
                <w:bCs/>
              </w:rPr>
              <w:t>Anillos sincronizadores</w:t>
            </w:r>
          </w:p>
        </w:tc>
        <w:tc>
          <w:tcPr>
            <w:tcW w:w="3379" w:type="dxa"/>
            <w:shd w:val="clear" w:color="auto" w:fill="auto"/>
            <w:tcMar>
              <w:top w:w="100" w:type="dxa"/>
              <w:left w:w="100" w:type="dxa"/>
              <w:bottom w:w="100" w:type="dxa"/>
              <w:right w:w="100" w:type="dxa"/>
            </w:tcMar>
          </w:tcPr>
          <w:p w14:paraId="769B53ED" w14:textId="71F6CD5B" w:rsidR="00AF7225" w:rsidRDefault="00AF7225" w:rsidP="00AF7225">
            <w:pPr>
              <w:widowControl w:val="0"/>
              <w:spacing w:line="240" w:lineRule="auto"/>
              <w:rPr>
                <w:sz w:val="20"/>
                <w:szCs w:val="20"/>
              </w:rPr>
            </w:pPr>
            <w:r w:rsidRPr="0059067F">
              <w:t>En muchos casos, el anillo sincronizador está fabricado con aleaciones de bronce para resistir las altas fricciones que se producen durante su trabajo de frenado con el piñón seleccionado. El anillo sincronizador tiene en su periferia un sector dentado, generalmente con el mismo número de dientes que el sector dentado del piñón con el que trabaja, así como el mismo número de ranuras que tiene el estriado interno del collarín en el que está alojado. La superficie cónica de fricción del anillo sincronizador está diseñada con un sistema ranurado que permite el ingreso del aceite lubricante y la salida del aceite caliente, el cual alcanza altas temperaturas durante su operación.</w:t>
            </w:r>
          </w:p>
        </w:tc>
        <w:tc>
          <w:tcPr>
            <w:tcW w:w="8456" w:type="dxa"/>
            <w:shd w:val="clear" w:color="auto" w:fill="auto"/>
            <w:tcMar>
              <w:top w:w="100" w:type="dxa"/>
              <w:left w:w="100" w:type="dxa"/>
              <w:bottom w:w="100" w:type="dxa"/>
              <w:right w:w="100" w:type="dxa"/>
            </w:tcMar>
          </w:tcPr>
          <w:p w14:paraId="09165F1C" w14:textId="77777777" w:rsidR="00AF7225" w:rsidRDefault="00AF7225" w:rsidP="00AF7225">
            <w:pPr>
              <w:pStyle w:val="Normal0"/>
              <w:rPr>
                <w:lang w:val="es-MX"/>
              </w:rPr>
            </w:pPr>
            <w:r w:rsidRPr="00EF3CE3">
              <w:rPr>
                <w:noProof/>
                <w:lang w:val="es-MX"/>
              </w:rPr>
              <w:drawing>
                <wp:inline distT="0" distB="0" distL="0" distR="0" wp14:anchorId="7BA6C6B4" wp14:editId="4821E6EB">
                  <wp:extent cx="2048397" cy="1676400"/>
                  <wp:effectExtent l="0" t="0" r="9525" b="0"/>
                  <wp:docPr id="103055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8040" name=""/>
                          <pic:cNvPicPr/>
                        </pic:nvPicPr>
                        <pic:blipFill>
                          <a:blip r:embed="rId7"/>
                          <a:stretch>
                            <a:fillRect/>
                          </a:stretch>
                        </pic:blipFill>
                        <pic:spPr>
                          <a:xfrm>
                            <a:off x="0" y="0"/>
                            <a:ext cx="2055103" cy="1681888"/>
                          </a:xfrm>
                          <a:prstGeom prst="rect">
                            <a:avLst/>
                          </a:prstGeom>
                        </pic:spPr>
                      </pic:pic>
                    </a:graphicData>
                  </a:graphic>
                </wp:inline>
              </w:drawing>
            </w:r>
          </w:p>
          <w:p w14:paraId="77C2115B" w14:textId="3A4B73D0" w:rsidR="00AF7225" w:rsidRDefault="00AF7225" w:rsidP="00AF7225">
            <w:pPr>
              <w:widowControl w:val="0"/>
              <w:spacing w:line="240" w:lineRule="auto"/>
              <w:rPr>
                <w:sz w:val="20"/>
                <w:szCs w:val="20"/>
              </w:rPr>
            </w:pPr>
            <w:commentRangeStart w:id="0"/>
            <w:commentRangeStart w:id="1"/>
            <w:r w:rsidRPr="007A1430">
              <w:rPr>
                <w:noProof/>
              </w:rPr>
              <w:drawing>
                <wp:inline distT="0" distB="0" distL="0" distR="0" wp14:anchorId="57A4A534" wp14:editId="6262A1F1">
                  <wp:extent cx="3659773" cy="1428750"/>
                  <wp:effectExtent l="0" t="0" r="0" b="0"/>
                  <wp:docPr id="184067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601" name=""/>
                          <pic:cNvPicPr/>
                        </pic:nvPicPr>
                        <pic:blipFill>
                          <a:blip r:embed="rId8"/>
                          <a:stretch>
                            <a:fillRect/>
                          </a:stretch>
                        </pic:blipFill>
                        <pic:spPr>
                          <a:xfrm>
                            <a:off x="0" y="0"/>
                            <a:ext cx="3667556" cy="1431788"/>
                          </a:xfrm>
                          <a:prstGeom prst="rect">
                            <a:avLst/>
                          </a:prstGeom>
                        </pic:spPr>
                      </pic:pic>
                    </a:graphicData>
                  </a:graphic>
                </wp:inline>
              </w:drawing>
            </w:r>
            <w:commentRangeEnd w:id="0"/>
            <w:r>
              <w:rPr>
                <w:rStyle w:val="CommentReference"/>
              </w:rPr>
              <w:commentReference w:id="0"/>
            </w:r>
            <w:commentRangeEnd w:id="1"/>
            <w:r>
              <w:rPr>
                <w:rStyle w:val="CommentReference"/>
              </w:rPr>
              <w:commentReference w:id="1"/>
            </w:r>
          </w:p>
        </w:tc>
      </w:tr>
      <w:tr w:rsidR="00AF7225" w14:paraId="76301E20" w14:textId="77777777" w:rsidTr="00AF7225">
        <w:trPr>
          <w:trHeight w:val="420"/>
        </w:trPr>
        <w:tc>
          <w:tcPr>
            <w:tcW w:w="2565" w:type="dxa"/>
            <w:shd w:val="clear" w:color="auto" w:fill="auto"/>
            <w:tcMar>
              <w:top w:w="100" w:type="dxa"/>
              <w:left w:w="100" w:type="dxa"/>
              <w:bottom w:w="100" w:type="dxa"/>
              <w:right w:w="100" w:type="dxa"/>
            </w:tcMar>
          </w:tcPr>
          <w:p w14:paraId="41FE40E4" w14:textId="15B7B361" w:rsidR="00AF7225" w:rsidRDefault="00AF7225" w:rsidP="00AF7225">
            <w:pPr>
              <w:widowControl w:val="0"/>
              <w:spacing w:line="240" w:lineRule="auto"/>
            </w:pPr>
            <w:r w:rsidRPr="0059067F">
              <w:rPr>
                <w:b/>
                <w:bCs/>
              </w:rPr>
              <w:t>Collarín y sector dentado</w:t>
            </w:r>
          </w:p>
        </w:tc>
        <w:tc>
          <w:tcPr>
            <w:tcW w:w="3379" w:type="dxa"/>
            <w:shd w:val="clear" w:color="auto" w:fill="auto"/>
            <w:tcMar>
              <w:top w:w="100" w:type="dxa"/>
              <w:left w:w="100" w:type="dxa"/>
              <w:bottom w:w="100" w:type="dxa"/>
              <w:right w:w="100" w:type="dxa"/>
            </w:tcMar>
          </w:tcPr>
          <w:p w14:paraId="39BC1C6D" w14:textId="43694D9B" w:rsidR="00AF7225" w:rsidRDefault="00AF7225" w:rsidP="00AF7225">
            <w:pPr>
              <w:widowControl w:val="0"/>
              <w:spacing w:line="240" w:lineRule="auto"/>
              <w:rPr>
                <w:sz w:val="20"/>
                <w:szCs w:val="20"/>
              </w:rPr>
            </w:pPr>
            <w:r w:rsidRPr="0059067F">
              <w:t>El collarín está alojado en un sector dentado que puede desplazarse lateralmente para empujar el anillo sincronizador y engranar con el sector dentado del piñón de la marcha respectiva. Este sector dentado se fija al eje estriado de salida mediante otro estriado, lo que permite mantenerlo sólido durante su trabajo, pero también facilita su extracción para tareas de mantenimiento o reparación.</w:t>
            </w:r>
          </w:p>
        </w:tc>
        <w:tc>
          <w:tcPr>
            <w:tcW w:w="8456" w:type="dxa"/>
            <w:shd w:val="clear" w:color="auto" w:fill="auto"/>
            <w:tcMar>
              <w:top w:w="100" w:type="dxa"/>
              <w:left w:w="100" w:type="dxa"/>
              <w:bottom w:w="100" w:type="dxa"/>
              <w:right w:w="100" w:type="dxa"/>
            </w:tcMar>
          </w:tcPr>
          <w:p w14:paraId="6E776A26" w14:textId="39D30415" w:rsidR="00AF7225" w:rsidRDefault="00AF7225" w:rsidP="00AF7225">
            <w:pPr>
              <w:widowControl w:val="0"/>
              <w:spacing w:line="240" w:lineRule="auto"/>
              <w:rPr>
                <w:sz w:val="20"/>
                <w:szCs w:val="20"/>
              </w:rPr>
            </w:pPr>
            <w:commentRangeStart w:id="2"/>
            <w:commentRangeStart w:id="3"/>
            <w:r w:rsidRPr="00FB23DA">
              <w:rPr>
                <w:noProof/>
              </w:rPr>
              <w:drawing>
                <wp:inline distT="0" distB="0" distL="0" distR="0" wp14:anchorId="6F506C1F" wp14:editId="7B50E0F0">
                  <wp:extent cx="3055620" cy="1683471"/>
                  <wp:effectExtent l="0" t="0" r="0" b="0"/>
                  <wp:docPr id="2659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6433" name=""/>
                          <pic:cNvPicPr/>
                        </pic:nvPicPr>
                        <pic:blipFill>
                          <a:blip r:embed="rId13"/>
                          <a:stretch>
                            <a:fillRect/>
                          </a:stretch>
                        </pic:blipFill>
                        <pic:spPr>
                          <a:xfrm>
                            <a:off x="0" y="0"/>
                            <a:ext cx="3055620" cy="1683471"/>
                          </a:xfrm>
                          <a:prstGeom prst="rect">
                            <a:avLst/>
                          </a:prstGeom>
                        </pic:spPr>
                      </pic:pic>
                    </a:graphicData>
                  </a:graphic>
                </wp:inline>
              </w:drawing>
            </w:r>
            <w:commentRangeEnd w:id="2"/>
            <w:r>
              <w:rPr>
                <w:rStyle w:val="CommentReference"/>
              </w:rPr>
              <w:commentReference w:id="2"/>
            </w:r>
            <w:commentRangeEnd w:id="3"/>
            <w:r>
              <w:rPr>
                <w:rStyle w:val="CommentReference"/>
              </w:rPr>
              <w:commentReference w:id="3"/>
            </w:r>
          </w:p>
        </w:tc>
      </w:tr>
    </w:tbl>
    <w:p w14:paraId="3503F50B" w14:textId="77777777" w:rsidR="00CE7131" w:rsidRDefault="00CE7131">
      <w:pPr>
        <w:spacing w:line="240" w:lineRule="auto"/>
        <w:rPr>
          <w:b/>
        </w:rPr>
      </w:pPr>
    </w:p>
    <w:sectPr w:rsidR="00CE7131">
      <w:headerReference w:type="default" r:id="rId14"/>
      <w:footerReference w:type="default" r:id="rId15"/>
      <w:pgSz w:w="15840" w:h="12240" w:orient="landscape"/>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2-04T17:32:00Z" w:initials="PM">
    <w:p w14:paraId="7CEB8386" w14:textId="77777777" w:rsidR="00AF7225" w:rsidRDefault="00AF7225" w:rsidP="00A038F2">
      <w:pPr>
        <w:pStyle w:val="CommentText"/>
      </w:pPr>
      <w:r>
        <w:rPr>
          <w:rStyle w:val="CommentReference"/>
        </w:rPr>
        <w:annotationRef/>
      </w:r>
      <w:r>
        <w:rPr>
          <w:highlight w:val="magenta"/>
        </w:rPr>
        <w:t>Texto alternativo</w:t>
      </w:r>
      <w:r>
        <w:t xml:space="preserve">: </w:t>
      </w:r>
      <w:r>
        <w:rPr>
          <w:color w:val="0D0D0D"/>
          <w:highlight w:val="white"/>
        </w:rPr>
        <w:t>Diagrama desglosado de un sistema de transmisión, mostrando componentes como el piñón, anillo sincronizador, buje, desplazable, chavetas y muelles.</w:t>
      </w:r>
      <w:r>
        <w:t xml:space="preserve"> </w:t>
      </w:r>
    </w:p>
  </w:comment>
  <w:comment w:id="1" w:author="Paola Moya" w:date="2024-12-04T18:37:00Z" w:initials="PM">
    <w:p w14:paraId="722197E0" w14:textId="77777777" w:rsidR="00AF7225" w:rsidRDefault="00AF7225" w:rsidP="00092349">
      <w:pPr>
        <w:pStyle w:val="CommentText"/>
      </w:pPr>
      <w:r>
        <w:rPr>
          <w:rStyle w:val="CommentReference"/>
        </w:rPr>
        <w:annotationRef/>
      </w:r>
      <w:r>
        <w:t>Rediseñar</w:t>
      </w:r>
    </w:p>
    <w:p w14:paraId="0DCC514F" w14:textId="77777777" w:rsidR="00AF7225" w:rsidRDefault="00AF7225" w:rsidP="00AF7225">
      <w:pPr>
        <w:pStyle w:val="CommentText"/>
        <w:numPr>
          <w:ilvl w:val="0"/>
          <w:numId w:val="2"/>
        </w:numPr>
      </w:pPr>
      <w:r>
        <w:rPr>
          <w:color w:val="0D0D0D"/>
          <w:highlight w:val="white"/>
        </w:rPr>
        <w:t>Piñón</w:t>
      </w:r>
    </w:p>
    <w:p w14:paraId="7257EA96" w14:textId="77777777" w:rsidR="00AF7225" w:rsidRDefault="00AF7225" w:rsidP="00AF7225">
      <w:pPr>
        <w:pStyle w:val="CommentText"/>
        <w:numPr>
          <w:ilvl w:val="0"/>
          <w:numId w:val="2"/>
        </w:numPr>
      </w:pPr>
      <w:r>
        <w:rPr>
          <w:color w:val="0D0D0D"/>
          <w:highlight w:val="white"/>
        </w:rPr>
        <w:t>Anillo sincronizador</w:t>
      </w:r>
    </w:p>
    <w:p w14:paraId="31CF60BF" w14:textId="77777777" w:rsidR="00AF7225" w:rsidRDefault="00AF7225" w:rsidP="00AF7225">
      <w:pPr>
        <w:pStyle w:val="CommentText"/>
        <w:numPr>
          <w:ilvl w:val="0"/>
          <w:numId w:val="2"/>
        </w:numPr>
      </w:pPr>
      <w:r>
        <w:rPr>
          <w:color w:val="0D0D0D"/>
          <w:highlight w:val="white"/>
        </w:rPr>
        <w:t>Desplazable</w:t>
      </w:r>
    </w:p>
    <w:p w14:paraId="7BBF5AB9" w14:textId="77777777" w:rsidR="00AF7225" w:rsidRDefault="00AF7225" w:rsidP="00AF7225">
      <w:pPr>
        <w:pStyle w:val="CommentText"/>
        <w:numPr>
          <w:ilvl w:val="0"/>
          <w:numId w:val="2"/>
        </w:numPr>
      </w:pPr>
      <w:r>
        <w:rPr>
          <w:color w:val="0D0D0D"/>
          <w:highlight w:val="white"/>
        </w:rPr>
        <w:t>Buje</w:t>
      </w:r>
    </w:p>
    <w:p w14:paraId="77085527" w14:textId="77777777" w:rsidR="00AF7225" w:rsidRDefault="00AF7225" w:rsidP="00AF7225">
      <w:pPr>
        <w:pStyle w:val="CommentText"/>
        <w:numPr>
          <w:ilvl w:val="0"/>
          <w:numId w:val="2"/>
        </w:numPr>
      </w:pPr>
      <w:r>
        <w:rPr>
          <w:color w:val="0D0D0D"/>
          <w:highlight w:val="white"/>
        </w:rPr>
        <w:t>Chavetas y muelles</w:t>
      </w:r>
    </w:p>
  </w:comment>
  <w:comment w:id="2" w:author="Paola Moya" w:date="2024-12-04T17:32:00Z" w:initials="PM">
    <w:p w14:paraId="68D244CE" w14:textId="77777777" w:rsidR="00AF7225" w:rsidRDefault="00AF7225" w:rsidP="00A038F2">
      <w:pPr>
        <w:pStyle w:val="CommentText"/>
      </w:pPr>
      <w:r>
        <w:rPr>
          <w:rStyle w:val="CommentReference"/>
        </w:rPr>
        <w:annotationRef/>
      </w:r>
      <w:r>
        <w:rPr>
          <w:highlight w:val="magenta"/>
        </w:rPr>
        <w:t>Texto alternativo</w:t>
      </w:r>
      <w:r>
        <w:t xml:space="preserve">: </w:t>
      </w:r>
      <w:r>
        <w:rPr>
          <w:color w:val="0D0D0D"/>
          <w:highlight w:val="white"/>
        </w:rPr>
        <w:t>Representación detallada de los elementos principales de un collarín y su conexión con el anillo sincronizador, el seguro y el eje estriado.</w:t>
      </w:r>
      <w:r>
        <w:t xml:space="preserve"> </w:t>
      </w:r>
    </w:p>
  </w:comment>
  <w:comment w:id="3" w:author="Paola Moya" w:date="2024-12-04T18:37:00Z" w:initials="PM">
    <w:p w14:paraId="65A68925" w14:textId="77777777" w:rsidR="00AF7225" w:rsidRDefault="00AF7225" w:rsidP="00D93357">
      <w:pPr>
        <w:pStyle w:val="CommentText"/>
      </w:pPr>
      <w:r>
        <w:rPr>
          <w:rStyle w:val="CommentReference"/>
        </w:rPr>
        <w:annotationRef/>
      </w:r>
      <w:r>
        <w:t>Rediseñar</w:t>
      </w:r>
    </w:p>
    <w:p w14:paraId="40E84960" w14:textId="77777777" w:rsidR="00AF7225" w:rsidRDefault="00AF7225" w:rsidP="00AF7225">
      <w:pPr>
        <w:pStyle w:val="CommentText"/>
        <w:numPr>
          <w:ilvl w:val="0"/>
          <w:numId w:val="3"/>
        </w:numPr>
      </w:pPr>
      <w:r>
        <w:rPr>
          <w:color w:val="0D0D0D"/>
          <w:highlight w:val="white"/>
        </w:rPr>
        <w:t>Anillo sincronizador</w:t>
      </w:r>
    </w:p>
    <w:p w14:paraId="2A53C829" w14:textId="77777777" w:rsidR="00AF7225" w:rsidRDefault="00AF7225" w:rsidP="00AF7225">
      <w:pPr>
        <w:pStyle w:val="CommentText"/>
        <w:numPr>
          <w:ilvl w:val="0"/>
          <w:numId w:val="3"/>
        </w:numPr>
      </w:pPr>
      <w:r>
        <w:rPr>
          <w:color w:val="0D0D0D"/>
          <w:highlight w:val="white"/>
        </w:rPr>
        <w:t>Collarín</w:t>
      </w:r>
    </w:p>
    <w:p w14:paraId="6B329007" w14:textId="77777777" w:rsidR="00AF7225" w:rsidRDefault="00AF7225" w:rsidP="00AF7225">
      <w:pPr>
        <w:pStyle w:val="CommentText"/>
        <w:numPr>
          <w:ilvl w:val="0"/>
          <w:numId w:val="3"/>
        </w:numPr>
      </w:pPr>
      <w:r>
        <w:rPr>
          <w:color w:val="0D0D0D"/>
          <w:highlight w:val="white"/>
        </w:rPr>
        <w:t>Seguro</w:t>
      </w:r>
    </w:p>
    <w:p w14:paraId="0DCC5328" w14:textId="77777777" w:rsidR="00AF7225" w:rsidRDefault="00AF7225" w:rsidP="00AF7225">
      <w:pPr>
        <w:pStyle w:val="CommentText"/>
        <w:numPr>
          <w:ilvl w:val="0"/>
          <w:numId w:val="3"/>
        </w:numPr>
      </w:pPr>
      <w:r>
        <w:rPr>
          <w:color w:val="0D0D0D"/>
          <w:highlight w:val="white"/>
        </w:rPr>
        <w:t>Eje estriado</w:t>
      </w:r>
    </w:p>
    <w:p w14:paraId="729EEDAF" w14:textId="77777777" w:rsidR="00AF7225" w:rsidRDefault="00AF7225" w:rsidP="00AF7225">
      <w:pPr>
        <w:pStyle w:val="CommentText"/>
        <w:numPr>
          <w:ilvl w:val="0"/>
          <w:numId w:val="3"/>
        </w:numPr>
      </w:pPr>
      <w:r>
        <w:rPr>
          <w:color w:val="0D0D0D"/>
          <w:highlight w:val="white"/>
        </w:rPr>
        <w:t>Estriado del collarín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EB8386" w15:done="0"/>
  <w15:commentEx w15:paraId="77085527" w15:paraIdParent="7CEB8386" w15:done="0"/>
  <w15:commentEx w15:paraId="68D244CE" w15:done="0"/>
  <w15:commentEx w15:paraId="729EEDAF" w15:paraIdParent="68D244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2C2C99" w16cex:dateUtc="2024-12-04T22:32:00Z"/>
  <w16cex:commentExtensible w16cex:durableId="148526F1" w16cex:dateUtc="2024-12-04T23:37:00Z"/>
  <w16cex:commentExtensible w16cex:durableId="0032D9CA" w16cex:dateUtc="2024-12-04T22:32:00Z"/>
  <w16cex:commentExtensible w16cex:durableId="2DF7F0B3" w16cex:dateUtc="2024-12-04T2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EB8386" w16cid:durableId="262C2C99"/>
  <w16cid:commentId w16cid:paraId="77085527" w16cid:durableId="148526F1"/>
  <w16cid:commentId w16cid:paraId="68D244CE" w16cid:durableId="0032D9CA"/>
  <w16cid:commentId w16cid:paraId="729EEDAF" w16cid:durableId="2DF7F0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021CF" w14:textId="77777777" w:rsidR="00D63755" w:rsidRDefault="00D63755">
      <w:pPr>
        <w:spacing w:line="240" w:lineRule="auto"/>
      </w:pPr>
      <w:r>
        <w:separator/>
      </w:r>
    </w:p>
  </w:endnote>
  <w:endnote w:type="continuationSeparator" w:id="0">
    <w:p w14:paraId="5AEA2573" w14:textId="77777777" w:rsidR="00D63755" w:rsidRDefault="00D637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embedRegular r:id="rId1" w:fontKey="{00541E9C-D65B-4149-8443-B6091A9DF07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C749E6C-22AC-4FCF-9E42-F0E57E562EDD}"/>
  </w:font>
  <w:font w:name="Cambria">
    <w:panose1 w:val="02040503050406030204"/>
    <w:charset w:val="00"/>
    <w:family w:val="roman"/>
    <w:pitch w:val="variable"/>
    <w:sig w:usb0="E00006FF" w:usb1="420024FF" w:usb2="02000000" w:usb3="00000000" w:csb0="0000019F" w:csb1="00000000"/>
    <w:embedRegular r:id="rId3" w:fontKey="{ACA99E46-3EE7-4219-A23C-610B1978C5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700C6" w14:textId="77777777" w:rsidR="00CE7131" w:rsidRDefault="00CE7131">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10EB4" w14:textId="77777777" w:rsidR="00D63755" w:rsidRDefault="00D63755">
      <w:pPr>
        <w:spacing w:line="240" w:lineRule="auto"/>
      </w:pPr>
      <w:r>
        <w:separator/>
      </w:r>
    </w:p>
  </w:footnote>
  <w:footnote w:type="continuationSeparator" w:id="0">
    <w:p w14:paraId="53028F74" w14:textId="77777777" w:rsidR="00D63755" w:rsidRDefault="00D637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45821" w14:textId="77777777" w:rsidR="00CE7131" w:rsidRDefault="00B91015">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7EB72C05" wp14:editId="5420B43A">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05AEEB04" wp14:editId="227AB90B">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5919A480" w14:textId="77777777" w:rsidR="00CE7131" w:rsidRDefault="00B91015">
                          <w:pPr>
                            <w:spacing w:line="240" w:lineRule="auto"/>
                            <w:textDirection w:val="btLr"/>
                          </w:pPr>
                          <w:r>
                            <w:rPr>
                              <w:b/>
                              <w:color w:val="000000"/>
                            </w:rPr>
                            <w:t xml:space="preserve">FORMATO DE DISEÑO INSTRUCCIONAL </w:t>
                          </w:r>
                        </w:p>
                        <w:p w14:paraId="47C8A39B" w14:textId="77777777" w:rsidR="00CE7131" w:rsidRDefault="00B91015">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5AEEB04" id="Rectangle 1" o:spid="_x0000_s1026" style="position:absolute;margin-left:1pt;margin-top:-8.4pt;width:459.75pt;height:111.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" filled="f" stroked="f">
              <v:textbox inset="2.53958mm,1.2694mm,2.53958mm,1.2694mm">
                <w:txbxContent>
                  <w:p w14:paraId="5919A480" w14:textId="77777777" w:rsidR="00CE7131" w:rsidRDefault="00B91015">
                    <w:pPr>
                      <w:spacing w:line="240" w:lineRule="auto"/>
                      <w:textDirection w:val="btLr"/>
                    </w:pPr>
                    <w:r>
                      <w:rPr>
                        <w:b/>
                        <w:color w:val="000000"/>
                      </w:rPr>
                      <w:t xml:space="preserve">FORMATO DE DISEÑO INSTRUCCIONAL </w:t>
                    </w:r>
                  </w:p>
                  <w:p w14:paraId="47C8A39B" w14:textId="77777777" w:rsidR="00CE7131" w:rsidRDefault="00B91015">
                    <w:pPr>
                      <w:spacing w:line="275" w:lineRule="auto"/>
                      <w:textDirection w:val="btLr"/>
                    </w:pPr>
                    <w:r>
                      <w:rPr>
                        <w:b/>
                        <w:color w:val="000000"/>
                      </w:rPr>
                      <w:t>COMPONENTES WEB PARA DIAGRAMACIÓN DE CONTENIDO</w:t>
                    </w:r>
                  </w:p>
                  <w:p w14:paraId="77395ABB" w14:textId="77777777" w:rsidR="00CE7131" w:rsidRDefault="00CE7131">
                    <w:pPr>
                      <w:spacing w:line="275"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A10D4"/>
    <w:multiLevelType w:val="multilevel"/>
    <w:tmpl w:val="B1A23300"/>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C2631B"/>
    <w:multiLevelType w:val="hybridMultilevel"/>
    <w:tmpl w:val="80FE14EA"/>
    <w:lvl w:ilvl="0" w:tplc="9A1CB7D2">
      <w:start w:val="1"/>
      <w:numFmt w:val="bullet"/>
      <w:lvlText w:val=""/>
      <w:lvlJc w:val="left"/>
      <w:pPr>
        <w:ind w:left="1080" w:hanging="360"/>
      </w:pPr>
      <w:rPr>
        <w:rFonts w:ascii="Symbol" w:hAnsi="Symbol"/>
      </w:rPr>
    </w:lvl>
    <w:lvl w:ilvl="1" w:tplc="7D940868">
      <w:start w:val="1"/>
      <w:numFmt w:val="bullet"/>
      <w:lvlText w:val=""/>
      <w:lvlJc w:val="left"/>
      <w:pPr>
        <w:ind w:left="1080" w:hanging="360"/>
      </w:pPr>
      <w:rPr>
        <w:rFonts w:ascii="Symbol" w:hAnsi="Symbol"/>
      </w:rPr>
    </w:lvl>
    <w:lvl w:ilvl="2" w:tplc="C310D966">
      <w:start w:val="1"/>
      <w:numFmt w:val="bullet"/>
      <w:lvlText w:val=""/>
      <w:lvlJc w:val="left"/>
      <w:pPr>
        <w:ind w:left="1080" w:hanging="360"/>
      </w:pPr>
      <w:rPr>
        <w:rFonts w:ascii="Symbol" w:hAnsi="Symbol"/>
      </w:rPr>
    </w:lvl>
    <w:lvl w:ilvl="3" w:tplc="D6728BF4">
      <w:start w:val="1"/>
      <w:numFmt w:val="bullet"/>
      <w:lvlText w:val=""/>
      <w:lvlJc w:val="left"/>
      <w:pPr>
        <w:ind w:left="1080" w:hanging="360"/>
      </w:pPr>
      <w:rPr>
        <w:rFonts w:ascii="Symbol" w:hAnsi="Symbol"/>
      </w:rPr>
    </w:lvl>
    <w:lvl w:ilvl="4" w:tplc="92D697BC">
      <w:start w:val="1"/>
      <w:numFmt w:val="bullet"/>
      <w:lvlText w:val=""/>
      <w:lvlJc w:val="left"/>
      <w:pPr>
        <w:ind w:left="1080" w:hanging="360"/>
      </w:pPr>
      <w:rPr>
        <w:rFonts w:ascii="Symbol" w:hAnsi="Symbol"/>
      </w:rPr>
    </w:lvl>
    <w:lvl w:ilvl="5" w:tplc="70B43250">
      <w:start w:val="1"/>
      <w:numFmt w:val="bullet"/>
      <w:lvlText w:val=""/>
      <w:lvlJc w:val="left"/>
      <w:pPr>
        <w:ind w:left="1080" w:hanging="360"/>
      </w:pPr>
      <w:rPr>
        <w:rFonts w:ascii="Symbol" w:hAnsi="Symbol"/>
      </w:rPr>
    </w:lvl>
    <w:lvl w:ilvl="6" w:tplc="8E24997C">
      <w:start w:val="1"/>
      <w:numFmt w:val="bullet"/>
      <w:lvlText w:val=""/>
      <w:lvlJc w:val="left"/>
      <w:pPr>
        <w:ind w:left="1080" w:hanging="360"/>
      </w:pPr>
      <w:rPr>
        <w:rFonts w:ascii="Symbol" w:hAnsi="Symbol"/>
      </w:rPr>
    </w:lvl>
    <w:lvl w:ilvl="7" w:tplc="C02C0616">
      <w:start w:val="1"/>
      <w:numFmt w:val="bullet"/>
      <w:lvlText w:val=""/>
      <w:lvlJc w:val="left"/>
      <w:pPr>
        <w:ind w:left="1080" w:hanging="360"/>
      </w:pPr>
      <w:rPr>
        <w:rFonts w:ascii="Symbol" w:hAnsi="Symbol"/>
      </w:rPr>
    </w:lvl>
    <w:lvl w:ilvl="8" w:tplc="E62A9456">
      <w:start w:val="1"/>
      <w:numFmt w:val="bullet"/>
      <w:lvlText w:val=""/>
      <w:lvlJc w:val="left"/>
      <w:pPr>
        <w:ind w:left="1080" w:hanging="360"/>
      </w:pPr>
      <w:rPr>
        <w:rFonts w:ascii="Symbol" w:hAnsi="Symbol"/>
      </w:rPr>
    </w:lvl>
  </w:abstractNum>
  <w:abstractNum w:abstractNumId="2" w15:restartNumberingAfterBreak="0">
    <w:nsid w:val="720B58F3"/>
    <w:multiLevelType w:val="hybridMultilevel"/>
    <w:tmpl w:val="5A62DDD2"/>
    <w:lvl w:ilvl="0" w:tplc="3D94A7CA">
      <w:start w:val="1"/>
      <w:numFmt w:val="bullet"/>
      <w:lvlText w:val=""/>
      <w:lvlJc w:val="left"/>
      <w:pPr>
        <w:ind w:left="1080" w:hanging="360"/>
      </w:pPr>
      <w:rPr>
        <w:rFonts w:ascii="Symbol" w:hAnsi="Symbol"/>
      </w:rPr>
    </w:lvl>
    <w:lvl w:ilvl="1" w:tplc="6CB851E4">
      <w:start w:val="1"/>
      <w:numFmt w:val="bullet"/>
      <w:lvlText w:val=""/>
      <w:lvlJc w:val="left"/>
      <w:pPr>
        <w:ind w:left="1080" w:hanging="360"/>
      </w:pPr>
      <w:rPr>
        <w:rFonts w:ascii="Symbol" w:hAnsi="Symbol"/>
      </w:rPr>
    </w:lvl>
    <w:lvl w:ilvl="2" w:tplc="F8CEB896">
      <w:start w:val="1"/>
      <w:numFmt w:val="bullet"/>
      <w:lvlText w:val=""/>
      <w:lvlJc w:val="left"/>
      <w:pPr>
        <w:ind w:left="1080" w:hanging="360"/>
      </w:pPr>
      <w:rPr>
        <w:rFonts w:ascii="Symbol" w:hAnsi="Symbol"/>
      </w:rPr>
    </w:lvl>
    <w:lvl w:ilvl="3" w:tplc="EEEEC18E">
      <w:start w:val="1"/>
      <w:numFmt w:val="bullet"/>
      <w:lvlText w:val=""/>
      <w:lvlJc w:val="left"/>
      <w:pPr>
        <w:ind w:left="1080" w:hanging="360"/>
      </w:pPr>
      <w:rPr>
        <w:rFonts w:ascii="Symbol" w:hAnsi="Symbol"/>
      </w:rPr>
    </w:lvl>
    <w:lvl w:ilvl="4" w:tplc="F2649030">
      <w:start w:val="1"/>
      <w:numFmt w:val="bullet"/>
      <w:lvlText w:val=""/>
      <w:lvlJc w:val="left"/>
      <w:pPr>
        <w:ind w:left="1080" w:hanging="360"/>
      </w:pPr>
      <w:rPr>
        <w:rFonts w:ascii="Symbol" w:hAnsi="Symbol"/>
      </w:rPr>
    </w:lvl>
    <w:lvl w:ilvl="5" w:tplc="297C04BC">
      <w:start w:val="1"/>
      <w:numFmt w:val="bullet"/>
      <w:lvlText w:val=""/>
      <w:lvlJc w:val="left"/>
      <w:pPr>
        <w:ind w:left="1080" w:hanging="360"/>
      </w:pPr>
      <w:rPr>
        <w:rFonts w:ascii="Symbol" w:hAnsi="Symbol"/>
      </w:rPr>
    </w:lvl>
    <w:lvl w:ilvl="6" w:tplc="DBA293A4">
      <w:start w:val="1"/>
      <w:numFmt w:val="bullet"/>
      <w:lvlText w:val=""/>
      <w:lvlJc w:val="left"/>
      <w:pPr>
        <w:ind w:left="1080" w:hanging="360"/>
      </w:pPr>
      <w:rPr>
        <w:rFonts w:ascii="Symbol" w:hAnsi="Symbol"/>
      </w:rPr>
    </w:lvl>
    <w:lvl w:ilvl="7" w:tplc="753AD75A">
      <w:start w:val="1"/>
      <w:numFmt w:val="bullet"/>
      <w:lvlText w:val=""/>
      <w:lvlJc w:val="left"/>
      <w:pPr>
        <w:ind w:left="1080" w:hanging="360"/>
      </w:pPr>
      <w:rPr>
        <w:rFonts w:ascii="Symbol" w:hAnsi="Symbol"/>
      </w:rPr>
    </w:lvl>
    <w:lvl w:ilvl="8" w:tplc="2C12094A">
      <w:start w:val="1"/>
      <w:numFmt w:val="bullet"/>
      <w:lvlText w:val=""/>
      <w:lvlJc w:val="left"/>
      <w:pPr>
        <w:ind w:left="1080" w:hanging="360"/>
      </w:pPr>
      <w:rPr>
        <w:rFonts w:ascii="Symbol" w:hAnsi="Symbol"/>
      </w:rPr>
    </w:lvl>
  </w:abstractNum>
  <w:num w:numId="1" w16cid:durableId="512719561">
    <w:abstractNumId w:val="0"/>
  </w:num>
  <w:num w:numId="2" w16cid:durableId="1837961638">
    <w:abstractNumId w:val="2"/>
  </w:num>
  <w:num w:numId="3" w16cid:durableId="1970120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131"/>
    <w:rsid w:val="008550AD"/>
    <w:rsid w:val="009C030E"/>
    <w:rsid w:val="00A51A1C"/>
    <w:rsid w:val="00AF7225"/>
    <w:rsid w:val="00B91015"/>
    <w:rsid w:val="00CE7131"/>
    <w:rsid w:val="00D63755"/>
    <w:rsid w:val="00DE7C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5A320"/>
  <w15:docId w15:val="{3430EFF6-6C49-4A4D-8AC1-80C9AD6E3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ormal0">
    <w:name w:val="Normal0"/>
    <w:qFormat/>
    <w:rsid w:val="00AF7225"/>
    <w:pPr>
      <w:spacing w:before="120" w:after="120"/>
    </w:pPr>
    <w:rPr>
      <w:sz w:val="20"/>
      <w:lang w:val="es-CO" w:eastAsia="ja-JP"/>
    </w:rPr>
  </w:style>
  <w:style w:type="character" w:styleId="CommentReference">
    <w:name w:val="annotation reference"/>
    <w:basedOn w:val="DefaultParagraphFont"/>
    <w:uiPriority w:val="99"/>
    <w:semiHidden/>
    <w:unhideWhenUsed/>
    <w:rsid w:val="00AF7225"/>
    <w:rPr>
      <w:sz w:val="16"/>
      <w:szCs w:val="16"/>
    </w:rPr>
  </w:style>
  <w:style w:type="paragraph" w:styleId="CommentText">
    <w:name w:val="annotation text"/>
    <w:basedOn w:val="Normal0"/>
    <w:link w:val="CommentTextChar"/>
    <w:uiPriority w:val="99"/>
    <w:unhideWhenUsed/>
    <w:rsid w:val="00AF7225"/>
    <w:pPr>
      <w:spacing w:line="240" w:lineRule="auto"/>
    </w:pPr>
    <w:rPr>
      <w:szCs w:val="20"/>
    </w:rPr>
  </w:style>
  <w:style w:type="character" w:customStyle="1" w:styleId="CommentTextChar">
    <w:name w:val="Comment Text Char"/>
    <w:basedOn w:val="DefaultParagraphFont"/>
    <w:link w:val="CommentText"/>
    <w:uiPriority w:val="99"/>
    <w:rsid w:val="00AF7225"/>
    <w:rPr>
      <w:sz w:val="20"/>
      <w:szCs w:val="20"/>
      <w:lang w:val="es-C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1.png"/><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31F9580-E5E8-485F-BDDB-E4F0A0C2B0E6}"/>
</file>

<file path=customXml/itemProps2.xml><?xml version="1.0" encoding="utf-8"?>
<ds:datastoreItem xmlns:ds="http://schemas.openxmlformats.org/officeDocument/2006/customXml" ds:itemID="{AC4E3E5E-2C0B-4CE4-90EC-1CE37F700A85}"/>
</file>

<file path=customXml/itemProps3.xml><?xml version="1.0" encoding="utf-8"?>
<ds:datastoreItem xmlns:ds="http://schemas.openxmlformats.org/officeDocument/2006/customXml" ds:itemID="{764E67AC-5BF8-49C2-A0E5-F4250848F23B}"/>
</file>

<file path=docProps/app.xml><?xml version="1.0" encoding="utf-8"?>
<Properties xmlns="http://schemas.openxmlformats.org/officeDocument/2006/extended-properties" xmlns:vt="http://schemas.openxmlformats.org/officeDocument/2006/docPropsVTypes">
  <Template>Normal.dotm</Template>
  <TotalTime>1</TotalTime>
  <Pages>2</Pages>
  <Words>283</Words>
  <Characters>1526</Characters>
  <Application>Microsoft Office Word</Application>
  <DocSecurity>0</DocSecurity>
  <Lines>66</Lines>
  <Paragraphs>24</Paragraphs>
  <ScaleCrop>false</ScaleCrop>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Paola Moya</cp:lastModifiedBy>
  <cp:revision>5</cp:revision>
  <dcterms:created xsi:type="dcterms:W3CDTF">2024-10-30T00:34:00Z</dcterms:created>
  <dcterms:modified xsi:type="dcterms:W3CDTF">2024-12-05T00:01:00Z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