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Sistemas socioecológicos.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Afianzar algunos de los conceptos sobre los sistemas socioecológicos.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Arrastrar y soltar el término sobre la definición que corresponde.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Anexos / Actividad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Didactica1_2222004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4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Desarrollo de la actividad: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Estimado aprendiz, la actividad planteada consiste en relacionar los términos con sus respectivas definiciones, de acuerdo con lo que representa cada concepto de los sistemas socioecológicos.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0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4"/>
        <w:tblGridChange w:id="0">
          <w:tblGrid>
            <w:gridCol w:w="4074"/>
          </w:tblGrid>
        </w:tblGridChange>
      </w:tblGrid>
      <w:tr>
        <w:trPr>
          <w:cantSplit w:val="0"/>
          <w:trHeight w:val="533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DEFINICIÓN</w:t>
            </w:r>
          </w:p>
        </w:tc>
      </w:tr>
      <w:tr>
        <w:trPr>
          <w:cantSplit w:val="0"/>
          <w:trHeight w:val="533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both"/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sz w:val="20"/>
                <w:szCs w:val="20"/>
                <w:highlight w:val="cyan"/>
                <w:rtl w:val="0"/>
              </w:rPr>
              <w:t xml:space="preserve">Es la capacidad que tienen los sistemas de mantenerse en el tiempo, a pesar de los cambios ambientales que se presenten.</w:t>
            </w:r>
          </w:p>
        </w:tc>
      </w:tr>
      <w:tr>
        <w:trPr>
          <w:cantSplit w:val="0"/>
          <w:trHeight w:val="53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both"/>
              <w:rPr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Son aquellos que no tienen vida, pero, de igual manera, son de vital importancia para el desarrollo de los ecosistemas y de los seres vivos.</w:t>
            </w:r>
          </w:p>
        </w:tc>
      </w:tr>
      <w:tr>
        <w:trPr>
          <w:cantSplit w:val="0"/>
          <w:trHeight w:val="533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Son todos los lineamientos que la autoridad requiere para la elaboración y ejecución de los estudios ambientales que deben ser presentados ante las autoridades.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both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sz w:val="20"/>
                <w:szCs w:val="20"/>
                <w:highlight w:val="red"/>
                <w:rtl w:val="0"/>
              </w:rPr>
              <w:t xml:space="preserve">Son los servicios derivados de las funciones de algún ecosistema y que sirven para la reducción de impactos ambientales tanto globales como locales.</w:t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sz w:val="20"/>
                <w:szCs w:val="20"/>
                <w:highlight w:val="magenta"/>
              </w:rPr>
            </w:pPr>
            <w:r w:rsidDel="00000000" w:rsidR="00000000" w:rsidRPr="00000000">
              <w:rPr>
                <w:sz w:val="20"/>
                <w:szCs w:val="20"/>
                <w:highlight w:val="magenta"/>
                <w:rtl w:val="0"/>
              </w:rPr>
              <w:t xml:space="preserve">Es la capacidad que tienen los sistemas socioecológicos de adaptarse a nuevas condiciones.</w:t>
            </w:r>
          </w:p>
        </w:tc>
      </w:tr>
      <w:tr>
        <w:trPr>
          <w:cantSplit w:val="0"/>
          <w:trHeight w:val="533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both"/>
              <w:rPr>
                <w:sz w:val="20"/>
                <w:szCs w:val="20"/>
                <w:highlight w:val="yellow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000000"/>
                <w:sz w:val="20"/>
                <w:szCs w:val="20"/>
                <w:highlight w:val="yellow"/>
                <w:rtl w:val="0"/>
              </w:rPr>
              <w:t xml:space="preserve">Son todos aquellos organismos que tienen vida, como los animales, las plantas o los microorganismos.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5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tblGridChange w:id="0">
          <w:tblGrid>
            <w:gridCol w:w="2583"/>
          </w:tblGrid>
        </w:tblGridChange>
      </w:tblGrid>
      <w:tr>
        <w:trPr>
          <w:cantSplit w:val="0"/>
          <w:trHeight w:val="641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TÉRMINO</w:t>
            </w:r>
          </w:p>
        </w:tc>
      </w:tr>
      <w:tr>
        <w:trPr>
          <w:cantSplit w:val="0"/>
          <w:trHeight w:val="641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Factores bióticos </w:t>
            </w:r>
          </w:p>
        </w:tc>
      </w:tr>
      <w:tr>
        <w:trPr>
          <w:cantSplit w:val="0"/>
          <w:trHeight w:val="641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sz w:val="20"/>
                <w:szCs w:val="20"/>
                <w:highlight w:val="green"/>
                <w:rtl w:val="0"/>
              </w:rPr>
              <w:t xml:space="preserve">Factores abióticos </w:t>
            </w:r>
          </w:p>
        </w:tc>
      </w:tr>
      <w:tr>
        <w:trPr>
          <w:cantSplit w:val="0"/>
          <w:trHeight w:val="641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sz w:val="20"/>
                <w:szCs w:val="20"/>
                <w:highlight w:val="cyan"/>
                <w:rtl w:val="0"/>
              </w:rPr>
              <w:t xml:space="preserve">Resiliencia </w:t>
            </w:r>
          </w:p>
        </w:tc>
      </w:tr>
      <w:tr>
        <w:trPr>
          <w:cantSplit w:val="0"/>
          <w:trHeight w:val="64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  <w:highlight w:val="magenta"/>
              </w:rPr>
            </w:pPr>
            <w:r w:rsidDel="00000000" w:rsidR="00000000" w:rsidRPr="00000000">
              <w:rPr>
                <w:sz w:val="20"/>
                <w:szCs w:val="20"/>
                <w:highlight w:val="magenta"/>
                <w:rtl w:val="0"/>
              </w:rPr>
              <w:t xml:space="preserve">Adaptabilidad</w:t>
            </w:r>
          </w:p>
        </w:tc>
      </w:tr>
      <w:tr>
        <w:trPr>
          <w:cantSplit w:val="0"/>
          <w:trHeight w:val="663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sz w:val="20"/>
                <w:szCs w:val="20"/>
                <w:highlight w:val="red"/>
                <w:rtl w:val="0"/>
              </w:rPr>
              <w:t xml:space="preserve">Servicios de regulación</w:t>
            </w:r>
          </w:p>
        </w:tc>
      </w:tr>
      <w:tr>
        <w:trPr>
          <w:cantSplit w:val="0"/>
          <w:trHeight w:val="641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Resoluciones ambientales</w:t>
            </w:r>
          </w:p>
        </w:tc>
      </w:tr>
    </w:tbl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Respuestas: 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– 6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– 2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– 1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– 5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– 4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 – 3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Realimentación para respuesta negativa:</w:t>
      </w:r>
      <w:r w:rsidDel="00000000" w:rsidR="00000000" w:rsidRPr="00000000">
        <w:rPr>
          <w:sz w:val="20"/>
          <w:szCs w:val="20"/>
          <w:rtl w:val="0"/>
        </w:rPr>
        <w:t xml:space="preserve"> Algunos de los términos emparejados no corresponden con su definición, es necesario una lectura detallada del componente formativo y volver a intentarlo. </w:t>
      </w:r>
    </w:p>
    <w:p w:rsidR="00000000" w:rsidDel="00000000" w:rsidP="00000000" w:rsidRDefault="00000000" w:rsidRPr="00000000" w14:paraId="0000002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Realimentación para respuesta correcta: </w:t>
      </w:r>
      <w:r w:rsidDel="00000000" w:rsidR="00000000" w:rsidRPr="00000000">
        <w:rPr>
          <w:sz w:val="20"/>
          <w:szCs w:val="20"/>
          <w:rtl w:val="0"/>
        </w:rPr>
        <w:t xml:space="preserve">Se evidencia claramente la comprensión de los temas tratados. ¡Felicitaciones!</w:t>
      </w:r>
    </w:p>
    <w:p w:rsidR="00000000" w:rsidDel="00000000" w:rsidP="00000000" w:rsidRDefault="00000000" w:rsidRPr="00000000" w14:paraId="0000003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A3D80"/>
    <w:pPr>
      <w:spacing w:after="0" w:line="276" w:lineRule="auto"/>
    </w:pPr>
    <w:rPr>
      <w:rFonts w:ascii="Arial" w:cs="Arial" w:eastAsia="Arial" w:hAnsi="Arial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6A3D8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aconcuadrcula">
    <w:name w:val="Table Grid"/>
    <w:basedOn w:val="Tablanormal"/>
    <w:uiPriority w:val="39"/>
    <w:rsid w:val="006A3D8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WWTxZU2Tuk2Gjha0y7FprlM5Pg==">AMUW2mXK11KLJG46g5zSLrOvJbepkPoiP+LbitLZJQn04nkkLubddEtgIPyzcRB1rcNPQZylo8/hwFnhxVWCspEDSoHnSsFkh7cJcADo+szEWy3jrB1xg2EGyAN7O+VnLvph+fnPbU3L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2021-12-03T23:48:00Z</dcterms:created>
  <dc:creator>victor.ardila94@gmail.com</dc:creator>
</cp:coreProperties>
</file>