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BC9" w:rsidRDefault="00BA1BC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A1BC9" w:rsidTr="00BA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A1BC9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A1BC9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BA1BC9" w:rsidRDefault="00BA1BC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A1BC9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BA1BC9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BA1BC9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A1BC9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BA1BC9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BA1BC9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A1BC9" w:rsidTr="00BA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A1BC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BA1BC9" w:rsidRDefault="00BA1BC9">
            <w:pPr>
              <w:rPr>
                <w:rFonts w:ascii="Calibri" w:eastAsia="Calibri" w:hAnsi="Calibri" w:cs="Calibri"/>
                <w:color w:val="595959"/>
              </w:rPr>
            </w:pPr>
          </w:p>
          <w:p w:rsidR="00BA1BC9" w:rsidRDefault="00BA1BC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BA1BC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34DDE" w:rsidRPr="005F0671">
              <w:rPr>
                <w:b/>
                <w:bCs/>
                <w:color w:val="auto"/>
                <w:sz w:val="20"/>
                <w:szCs w:val="20"/>
              </w:rPr>
              <w:t xml:space="preserve">Las pruebas de </w:t>
            </w:r>
            <w:r w:rsidR="00734DDE" w:rsidRPr="005F0671">
              <w:rPr>
                <w:b/>
                <w:bCs/>
                <w:i/>
                <w:iCs/>
                <w:color w:val="auto"/>
                <w:sz w:val="20"/>
                <w:szCs w:val="20"/>
              </w:rPr>
              <w:t>software</w:t>
            </w:r>
          </w:p>
          <w:p w:rsidR="00BA1BC9" w:rsidRDefault="00BA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A1BC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BA1BC9" w:rsidRDefault="00BA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A1BC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BA1BC9" w:rsidRDefault="00BA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A1BC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BA1BC9" w:rsidRPr="00734DDE" w:rsidRDefault="00734DDE" w:rsidP="00734DDE">
            <w:pPr>
              <w:pStyle w:val="Heading2"/>
              <w:shd w:val="clear" w:color="auto" w:fill="FFFFFF"/>
              <w:spacing w:before="0" w:after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2263F"/>
                <w:sz w:val="24"/>
                <w:szCs w:val="24"/>
              </w:rPr>
            </w:pPr>
            <w:r w:rsidRPr="00734DDE">
              <w:rPr>
                <w:rFonts w:ascii="Roboto" w:hAnsi="Roboto"/>
                <w:color w:val="12263F"/>
                <w:sz w:val="22"/>
                <w:szCs w:val="22"/>
              </w:rPr>
              <w:t xml:space="preserve">Conceptos básicos de </w:t>
            </w:r>
            <w:r w:rsidR="002D568D">
              <w:rPr>
                <w:rFonts w:ascii="Roboto" w:hAnsi="Roboto"/>
                <w:color w:val="12263F"/>
                <w:sz w:val="22"/>
                <w:szCs w:val="22"/>
              </w:rPr>
              <w:t>p</w:t>
            </w:r>
            <w:r w:rsidRPr="00734DDE">
              <w:rPr>
                <w:rFonts w:ascii="Roboto" w:hAnsi="Roboto"/>
                <w:color w:val="12263F"/>
                <w:sz w:val="22"/>
                <w:szCs w:val="22"/>
              </w:rPr>
              <w:t>ruebas de </w:t>
            </w:r>
            <w:r w:rsidRPr="00734DDE">
              <w:rPr>
                <w:rFonts w:ascii="Roboto" w:hAnsi="Roboto"/>
                <w:i/>
                <w:iCs/>
                <w:color w:val="12263F"/>
                <w:sz w:val="22"/>
                <w:szCs w:val="22"/>
                <w:bdr w:val="none" w:sz="0" w:space="0" w:color="auto" w:frame="1"/>
              </w:rPr>
              <w:t>software</w:t>
            </w:r>
          </w:p>
        </w:tc>
      </w:tr>
      <w:tr w:rsidR="00BA1BC9" w:rsidTr="00BA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BA1BC9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BA1BC9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Afianzar algunos conceptos básicos de pruebas de </w:t>
            </w:r>
            <w:r>
              <w:rPr>
                <w:rFonts w:ascii="Roboto" w:hAnsi="Roboto"/>
                <w:i/>
                <w:iCs/>
                <w:color w:val="12263F"/>
                <w:bdr w:val="none" w:sz="0" w:space="0" w:color="auto" w:frame="1"/>
                <w:shd w:val="clear" w:color="auto" w:fill="FFFFFF"/>
              </w:rPr>
              <w:t>software.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A1BC9" w:rsidTr="00BA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BA1BC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BA1BC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BA1BC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BA1BC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A1BC9" w:rsidTr="00BA1BC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Sistemas y requisitos de calidad y evaluación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.</w:t>
            </w:r>
          </w:p>
          <w:p w:rsidR="00BA1BC9" w:rsidRPr="00734DDE" w:rsidRDefault="00BA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:rsidR="00BA1BC9" w:rsidRPr="00734DD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ISO/IEC 25000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Verifican el óptimo acople entre los componentes y de probar las interfaces entre los módulos.</w:t>
            </w:r>
          </w:p>
        </w:tc>
        <w:tc>
          <w:tcPr>
            <w:tcW w:w="1035" w:type="dxa"/>
          </w:tcPr>
          <w:p w:rsidR="00BA1BC9" w:rsidRPr="00734DD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Pruebas de integración</w:t>
            </w:r>
          </w:p>
        </w:tc>
      </w:tr>
      <w:tr w:rsidR="00BA1BC9" w:rsidTr="00BA1BC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Se comoprueban los requisitos basados en la operación de un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, no en su funcionalidad.</w:t>
            </w:r>
          </w:p>
        </w:tc>
        <w:tc>
          <w:tcPr>
            <w:tcW w:w="1035" w:type="dxa"/>
            <w:shd w:val="clear" w:color="auto" w:fill="FBE5D5"/>
          </w:tcPr>
          <w:p w:rsidR="00BA1BC9" w:rsidRPr="00734DD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Pruebas no funcionales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Sirven para evaluar lo rápido que el programa realiza una tarea en condiciones específicas de trabajo.</w:t>
            </w:r>
          </w:p>
        </w:tc>
        <w:tc>
          <w:tcPr>
            <w:tcW w:w="1035" w:type="dxa"/>
          </w:tcPr>
          <w:p w:rsidR="00BA1BC9" w:rsidRPr="00734DD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Pruebas de rendimiento</w:t>
            </w:r>
          </w:p>
        </w:tc>
      </w:tr>
      <w:tr w:rsidR="00BA1BC9" w:rsidTr="00BA1BC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Se revisa que el comportamiento de un objeto y su lógica, funcionen adecuadamente.</w:t>
            </w:r>
          </w:p>
        </w:tc>
        <w:tc>
          <w:tcPr>
            <w:tcW w:w="1035" w:type="dxa"/>
            <w:shd w:val="clear" w:color="auto" w:fill="FBE5D5"/>
          </w:tcPr>
          <w:p w:rsidR="00BA1BC9" w:rsidRPr="00734DD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Pruebas funcionales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A1BC9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Se basan en la ejecución y revisión de las funciones y en su interoperabilidad con sistemas específicos.</w:t>
            </w:r>
          </w:p>
        </w:tc>
        <w:tc>
          <w:tcPr>
            <w:tcW w:w="1035" w:type="dxa"/>
          </w:tcPr>
          <w:p w:rsidR="00BA1BC9" w:rsidRPr="00734DD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734DDE">
              <w:rPr>
                <w:rFonts w:ascii="Calibri" w:eastAsia="Calibri" w:hAnsi="Calibri" w:cs="Calibri"/>
                <w:b/>
                <w:iCs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BA1BC9" w:rsidRPr="00734DDE" w:rsidRDefault="00734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Pruebas unitarias</w:t>
            </w:r>
          </w:p>
        </w:tc>
      </w:tr>
      <w:tr w:rsidR="00BA1BC9" w:rsidTr="00BA1BC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A1BC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A1BC9" w:rsidTr="00BA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BA1BC9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BA1BC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734DDE">
              <w:rPr>
                <w:rFonts w:ascii="Calibri" w:eastAsia="Calibri" w:hAnsi="Calibri" w:cs="Calibri"/>
                <w:i/>
                <w:color w:val="000000"/>
              </w:rPr>
              <w:t>Ha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734DDE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BA1BC9" w:rsidRDefault="00BA1B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A1BC9" w:rsidTr="00BA1BC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BA1BC9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BA1BC9" w:rsidRDefault="00BA1BC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BA1BC9" w:rsidRDefault="0073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BA1BC9" w:rsidRDefault="00BA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BA1BC9" w:rsidRDefault="00BA1BC9">
      <w:pPr>
        <w:rPr>
          <w:rFonts w:ascii="Calibri" w:eastAsia="Calibri" w:hAnsi="Calibri" w:cs="Calibri"/>
        </w:rPr>
      </w:pPr>
    </w:p>
    <w:p w:rsidR="00BA1BC9" w:rsidRDefault="00BA1BC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A1BC9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A1BC9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BA1B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A1BC9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BA1B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BA1B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A1BC9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BA1B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BC9" w:rsidRDefault="00BA1B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BA1BC9" w:rsidRDefault="00BA1BC9"/>
    <w:sectPr w:rsidR="00BA1BC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687" w:rsidRDefault="00760687">
      <w:pPr>
        <w:spacing w:line="240" w:lineRule="auto"/>
      </w:pPr>
      <w:r>
        <w:separator/>
      </w:r>
    </w:p>
  </w:endnote>
  <w:endnote w:type="continuationSeparator" w:id="0">
    <w:p w:rsidR="00760687" w:rsidRDefault="00760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687" w:rsidRDefault="00760687">
      <w:pPr>
        <w:spacing w:line="240" w:lineRule="auto"/>
      </w:pPr>
      <w:r>
        <w:separator/>
      </w:r>
    </w:p>
  </w:footnote>
  <w:footnote w:type="continuationSeparator" w:id="0">
    <w:p w:rsidR="00760687" w:rsidRDefault="00760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1BC9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1BC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A1BC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A1BC9" w:rsidRDefault="00BA1BC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391"/>
    <w:multiLevelType w:val="multilevel"/>
    <w:tmpl w:val="9F727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059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C9"/>
    <w:rsid w:val="002D568D"/>
    <w:rsid w:val="00734DDE"/>
    <w:rsid w:val="00760687"/>
    <w:rsid w:val="00BA1BC9"/>
    <w:rsid w:val="00D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B70A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9EFEBB-6E8E-4FB8-AADB-EAAD3A7FA48B}"/>
</file>

<file path=customXml/itemProps2.xml><?xml version="1.0" encoding="utf-8"?>
<ds:datastoreItem xmlns:ds="http://schemas.openxmlformats.org/officeDocument/2006/customXml" ds:itemID="{17DC7180-EDE8-4637-B869-699ED49B4EED}"/>
</file>

<file path=customXml/itemProps3.xml><?xml version="1.0" encoding="utf-8"?>
<ds:datastoreItem xmlns:ds="http://schemas.openxmlformats.org/officeDocument/2006/customXml" ds:itemID="{698BAAA6-B388-4B9A-8324-C6D716075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2024-04-30T01:11:00Z</dcterms:created>
  <dcterms:modified xsi:type="dcterms:W3CDTF">2024-04-30T01:20:00Z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