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BDD" w:rsidRDefault="00591BDD">
      <w:pPr>
        <w:spacing w:line="240" w:lineRule="auto"/>
        <w:rPr>
          <w:b/>
        </w:rPr>
      </w:pPr>
    </w:p>
    <w:tbl>
      <w:tblPr>
        <w:tblStyle w:val="a"/>
        <w:tblW w:w="145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"/>
        <w:gridCol w:w="2501"/>
        <w:gridCol w:w="110"/>
        <w:gridCol w:w="2530"/>
        <w:gridCol w:w="110"/>
        <w:gridCol w:w="6075"/>
        <w:gridCol w:w="110"/>
        <w:gridCol w:w="2854"/>
        <w:gridCol w:w="110"/>
      </w:tblGrid>
      <w:tr w:rsidR="00591BDD" w:rsidTr="00C36453">
        <w:trPr>
          <w:gridBefore w:val="1"/>
          <w:wBefore w:w="110" w:type="dxa"/>
          <w:trHeight w:val="440"/>
        </w:trPr>
        <w:tc>
          <w:tcPr>
            <w:tcW w:w="2611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6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591BDD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591BDD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591BDD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Pr="00D33D6A" w:rsidRDefault="00D33D6A" w:rsidP="00D33D6A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B12DB9">
              <w:rPr>
                <w:bCs/>
                <w:sz w:val="20"/>
                <w:szCs w:val="20"/>
              </w:rPr>
              <w:t xml:space="preserve">Las características </w:t>
            </w:r>
            <w:r>
              <w:rPr>
                <w:bCs/>
                <w:sz w:val="20"/>
                <w:szCs w:val="20"/>
              </w:rPr>
              <w:t xml:space="preserve">de cada uno, </w:t>
            </w:r>
            <w:r w:rsidRPr="00B12DB9">
              <w:rPr>
                <w:bCs/>
                <w:sz w:val="20"/>
                <w:szCs w:val="20"/>
              </w:rPr>
              <w:t xml:space="preserve">dependen en gran medida de las políticas de cada entidad, sin embargo, </w:t>
            </w:r>
            <w:r>
              <w:rPr>
                <w:bCs/>
                <w:sz w:val="20"/>
                <w:szCs w:val="20"/>
              </w:rPr>
              <w:t xml:space="preserve">a </w:t>
            </w:r>
            <w:r w:rsidRPr="00B12DB9">
              <w:rPr>
                <w:bCs/>
                <w:sz w:val="20"/>
                <w:szCs w:val="20"/>
              </w:rPr>
              <w:t>nivel general se encuentran:</w:t>
            </w:r>
          </w:p>
        </w:tc>
      </w:tr>
      <w:tr w:rsidR="00591BDD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591BDD" w:rsidTr="00C36453">
        <w:trPr>
          <w:gridAfter w:val="1"/>
          <w:wAfter w:w="110" w:type="dxa"/>
          <w:trHeight w:val="57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D33D6A">
            <w:pPr>
              <w:widowControl w:val="0"/>
              <w:spacing w:line="240" w:lineRule="auto"/>
            </w:pPr>
            <w:r w:rsidRPr="00D33D6A">
              <w:t>Microcrédito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591BD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Pr="00C36453" w:rsidRDefault="00D33D6A" w:rsidP="00C364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Préstamos pequeños, que se usa</w:t>
            </w:r>
            <w:r w:rsidR="00C36453">
              <w:rPr>
                <w:sz w:val="20"/>
                <w:szCs w:val="20"/>
              </w:rPr>
              <w:t>n</w:t>
            </w:r>
            <w:r w:rsidRPr="00C36453">
              <w:rPr>
                <w:sz w:val="20"/>
                <w:szCs w:val="20"/>
              </w:rPr>
              <w:t xml:space="preserve"> para impulsar proyectos productivos</w:t>
            </w:r>
            <w:r w:rsidR="00C36453">
              <w:rPr>
                <w:sz w:val="20"/>
                <w:szCs w:val="20"/>
              </w:rPr>
              <w:t>;</w:t>
            </w:r>
            <w:r w:rsidRPr="00C36453">
              <w:rPr>
                <w:sz w:val="20"/>
                <w:szCs w:val="20"/>
              </w:rPr>
              <w:t xml:space="preserve"> su destino puede ser capital de trabajo, adquisición de activos fijos productivos, inclusive</w:t>
            </w:r>
            <w:r w:rsidR="00C36453">
              <w:rPr>
                <w:sz w:val="20"/>
                <w:szCs w:val="20"/>
              </w:rPr>
              <w:t>,</w:t>
            </w:r>
            <w:r w:rsidRPr="00C36453">
              <w:rPr>
                <w:sz w:val="20"/>
                <w:szCs w:val="20"/>
              </w:rPr>
              <w:t xml:space="preserve"> libre inversión</w:t>
            </w:r>
            <w:r w:rsidR="00C36453">
              <w:rPr>
                <w:sz w:val="20"/>
                <w:szCs w:val="20"/>
              </w:rPr>
              <w:t>,</w:t>
            </w:r>
            <w:r w:rsidRPr="00C36453">
              <w:rPr>
                <w:sz w:val="20"/>
                <w:szCs w:val="20"/>
              </w:rPr>
              <w:t xml:space="preserve"> entre otros.</w:t>
            </w:r>
          </w:p>
          <w:p w:rsidR="00D33D6A" w:rsidRPr="00D33D6A" w:rsidRDefault="00D33D6A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36453" w:rsidRDefault="00D33D6A" w:rsidP="00C364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La amortización o pago de capital depende de cada proyecto, y puede ser a corto o mediano plazo.</w:t>
            </w:r>
          </w:p>
          <w:p w:rsidR="00D33D6A" w:rsidRPr="00D33D6A" w:rsidRDefault="00D33D6A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36453" w:rsidRDefault="00D33D6A" w:rsidP="00C364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Pueden existir períodos de gracia o no pago y en otros</w:t>
            </w:r>
            <w:r w:rsidR="00C36453">
              <w:rPr>
                <w:sz w:val="20"/>
                <w:szCs w:val="20"/>
              </w:rPr>
              <w:t>,</w:t>
            </w:r>
            <w:r w:rsidRPr="00C36453">
              <w:rPr>
                <w:sz w:val="20"/>
                <w:szCs w:val="20"/>
              </w:rPr>
              <w:t xml:space="preserve"> devolución parcial o total del dinero.</w:t>
            </w:r>
          </w:p>
          <w:p w:rsidR="00D33D6A" w:rsidRPr="00D33D6A" w:rsidRDefault="00D33D6A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36453" w:rsidRDefault="00D33D6A" w:rsidP="00C364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El valor dependerá de la necesidad del negocio y la capacidad de endeudamiento.</w:t>
            </w:r>
          </w:p>
          <w:p w:rsidR="00D33D6A" w:rsidRPr="00D33D6A" w:rsidRDefault="00D33D6A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36453" w:rsidRDefault="00D33D6A" w:rsidP="00C364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Las tasas de interés máximo son estipuladas por la Superintendencia Financiera de Colombia.</w:t>
            </w:r>
          </w:p>
          <w:p w:rsidR="00D33D6A" w:rsidRPr="00D33D6A" w:rsidRDefault="00D33D6A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91BDD" w:rsidRPr="00C36453" w:rsidRDefault="00D33D6A" w:rsidP="00C364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La garantía dependerá de la política de crédito de la entidad.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BDD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BDD" w:rsidRDefault="00591BD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C36453" w:rsidP="00D33D6A">
            <w:pPr>
              <w:widowControl w:val="0"/>
              <w:spacing w:line="240" w:lineRule="auto"/>
            </w:pPr>
            <w:r w:rsidRPr="00C36453">
              <w:lastRenderedPageBreak/>
              <w:t>Tarjetas de crédito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Tasas de interés preferencial.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Compras nacionales e internacionales.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Disponibilidad de avances (dinero en efectivo).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Con ella puede realizar pagos de insumos para la microempresa.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Puede tener asistencias y seguros exclusivos para microempresarios.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36453" w:rsidRDefault="00C36453" w:rsidP="00C3645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Los cupos dependen de la política de crédito de la entidad y de la capacidad de endeudamiento del microempresario.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EB334D">
              <w:rPr>
                <w:noProof/>
                <w:sz w:val="20"/>
                <w:szCs w:val="20"/>
              </w:rPr>
              <w:drawing>
                <wp:inline distT="114300" distB="114300" distL="114300" distR="114300" wp14:anchorId="67698F6C" wp14:editId="57B00404">
                  <wp:extent cx="763216" cy="763216"/>
                  <wp:effectExtent l="0" t="0" r="0" b="0"/>
                  <wp:docPr id="105063185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631850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C36453" w:rsidP="00D33D6A">
            <w:pPr>
              <w:widowControl w:val="0"/>
              <w:spacing w:line="240" w:lineRule="auto"/>
            </w:pPr>
            <w:r w:rsidRPr="00C36453">
              <w:t>Microahorro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Las cuentas de ahorro tendrán características diferentes</w:t>
            </w:r>
            <w:r>
              <w:rPr>
                <w:sz w:val="20"/>
                <w:szCs w:val="20"/>
              </w:rPr>
              <w:t>,</w:t>
            </w:r>
            <w:r w:rsidRPr="00C36453">
              <w:rPr>
                <w:sz w:val="20"/>
                <w:szCs w:val="20"/>
              </w:rPr>
              <w:t xml:space="preserve"> dependiendo de la entidad financiera, podrán: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No tener cuota de manejo.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Tener retiros ilimitados.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No requerir saldos mínimos.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Contar con el beneficio de</w:t>
            </w:r>
            <w:r w:rsidRPr="00C36453">
              <w:rPr>
                <w:sz w:val="20"/>
                <w:szCs w:val="20"/>
              </w:rPr>
              <w:t>l</w:t>
            </w:r>
            <w:r w:rsidRPr="00C36453">
              <w:rPr>
                <w:sz w:val="20"/>
                <w:szCs w:val="20"/>
              </w:rPr>
              <w:t xml:space="preserve"> no cobro del 4x1000.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Montos mínimos de apertura.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Medios de manejo: tarjeta débito o libreta.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36453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Liquidación de intereses (según promedios).</w:t>
            </w:r>
          </w:p>
          <w:p w:rsidR="00C36453" w:rsidRPr="00C36453" w:rsidRDefault="00C36453" w:rsidP="00C364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36453" w:rsidRDefault="00C36453" w:rsidP="00C3645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36453">
              <w:rPr>
                <w:sz w:val="20"/>
                <w:szCs w:val="20"/>
              </w:rPr>
              <w:t>Seguro FOGAFIN</w:t>
            </w:r>
            <w:r w:rsidRPr="00C36453">
              <w:rPr>
                <w:sz w:val="20"/>
                <w:szCs w:val="20"/>
              </w:rPr>
              <w:t>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EB334D">
              <w:rPr>
                <w:noProof/>
                <w:sz w:val="20"/>
                <w:szCs w:val="20"/>
              </w:rPr>
              <w:drawing>
                <wp:inline distT="114300" distB="114300" distL="114300" distR="114300" wp14:anchorId="36705734" wp14:editId="0ECE3578">
                  <wp:extent cx="763216" cy="763216"/>
                  <wp:effectExtent l="0" t="0" r="0" b="0"/>
                  <wp:docPr id="20057907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790727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0B781C" w:rsidP="00D33D6A">
            <w:pPr>
              <w:widowControl w:val="0"/>
              <w:spacing w:line="240" w:lineRule="auto"/>
            </w:pPr>
            <w:r w:rsidRPr="000B781C">
              <w:lastRenderedPageBreak/>
              <w:t>Microseguros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Son una forma de protección económica dirigida a los pobres, frente a una amenaza o contra la posibilidad de sufrir alguna pérdida humana o material</w:t>
            </w:r>
            <w:r>
              <w:rPr>
                <w:sz w:val="20"/>
                <w:szCs w:val="20"/>
              </w:rPr>
              <w:t>,</w:t>
            </w:r>
            <w:r w:rsidRPr="000B781C">
              <w:rPr>
                <w:sz w:val="20"/>
                <w:szCs w:val="20"/>
              </w:rPr>
              <w:t xml:space="preserve"> como lo expone López (2018) en estos tres puntos: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Buscan prevenir que, ante adversidades económicas inesperadas, las personas de escasos recursos caigan más en la pobreza o se perpetúen en ella.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Su cobertura es limitada y sus primas son de bajo costo.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0B781C" w:rsidRDefault="000B781C" w:rsidP="000B781C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Mitigación de las pérdidas económicas de la población pobre frente a los diferentes riesgos.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391F0B">
              <w:rPr>
                <w:noProof/>
                <w:sz w:val="20"/>
                <w:szCs w:val="20"/>
              </w:rPr>
              <w:drawing>
                <wp:inline distT="114300" distB="114300" distL="114300" distR="114300" wp14:anchorId="76AC4A1E" wp14:editId="4AA45809">
                  <wp:extent cx="763216" cy="763216"/>
                  <wp:effectExtent l="0" t="0" r="0" b="0"/>
                  <wp:docPr id="5142253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225321" name="image2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0B781C" w:rsidP="00D33D6A">
            <w:pPr>
              <w:widowControl w:val="0"/>
              <w:spacing w:line="240" w:lineRule="auto"/>
            </w:pPr>
            <w:r w:rsidRPr="000B781C">
              <w:t>CDT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Certificados de depósito a término fijo: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Reconoce intereses fijos o variables</w:t>
            </w:r>
            <w:r>
              <w:rPr>
                <w:sz w:val="20"/>
                <w:szCs w:val="20"/>
              </w:rPr>
              <w:t>,</w:t>
            </w:r>
            <w:r w:rsidRPr="000B781C">
              <w:rPr>
                <w:sz w:val="20"/>
                <w:szCs w:val="20"/>
              </w:rPr>
              <w:t xml:space="preserve"> dependiendo del monto y plazo pactados.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Negociable en la bolsa de valores.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Posibilidad de endoso (transferir a otra persona), antes de su vencimiento.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0B781C" w:rsidRDefault="000B781C" w:rsidP="000B781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Seguro FOGAFIN.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391F0B">
              <w:rPr>
                <w:noProof/>
                <w:sz w:val="20"/>
                <w:szCs w:val="20"/>
              </w:rPr>
              <w:drawing>
                <wp:inline distT="114300" distB="114300" distL="114300" distR="114300" wp14:anchorId="21B8AF43" wp14:editId="45285C5B">
                  <wp:extent cx="763216" cy="763216"/>
                  <wp:effectExtent l="0" t="0" r="0" b="0"/>
                  <wp:docPr id="151343589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435892" name="image2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0B781C" w:rsidP="00D33D6A">
            <w:pPr>
              <w:widowControl w:val="0"/>
              <w:spacing w:line="240" w:lineRule="auto"/>
            </w:pPr>
            <w:r w:rsidRPr="000B781C">
              <w:t xml:space="preserve">Oficina </w:t>
            </w:r>
            <w:r>
              <w:t>v</w:t>
            </w:r>
            <w:r w:rsidRPr="000B781C">
              <w:t>irtual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Ahorra tiempo al realizar transacciones desde cualquier lugar.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Minimiza los costos financieros por transacciones y consultas.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Accede al portafolio de productos y servicios financieros de la entidad.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Dispone de la información financiera.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B781C" w:rsidRPr="000B781C" w:rsidRDefault="000B781C" w:rsidP="000B781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Se pueden matricular cuentas de otras entidades, así como facturas y servicios públicos.</w:t>
            </w:r>
          </w:p>
          <w:p w:rsidR="000B781C" w:rsidRPr="000B781C" w:rsidRDefault="000B781C" w:rsidP="000B78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0B781C" w:rsidRDefault="000B781C" w:rsidP="000B781C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0B781C">
              <w:rPr>
                <w:sz w:val="20"/>
                <w:szCs w:val="20"/>
              </w:rPr>
              <w:t>Se pueden realizar transacciones como avances de tarjeta a cuentas de ahorro o corriente, abonos a créditos</w:t>
            </w:r>
            <w:r>
              <w:rPr>
                <w:sz w:val="20"/>
                <w:szCs w:val="20"/>
              </w:rPr>
              <w:t xml:space="preserve"> y</w:t>
            </w:r>
            <w:r w:rsidRPr="000B781C">
              <w:rPr>
                <w:sz w:val="20"/>
                <w:szCs w:val="20"/>
              </w:rPr>
              <w:t xml:space="preserve"> recarga de celulares.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391F0B"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1D710123" wp14:editId="134556E9">
                  <wp:extent cx="763216" cy="763216"/>
                  <wp:effectExtent l="0" t="0" r="0" b="0"/>
                  <wp:docPr id="9352248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224821" name="image2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C44DEB" w:rsidP="00D33D6A">
            <w:pPr>
              <w:widowControl w:val="0"/>
              <w:spacing w:line="240" w:lineRule="auto"/>
            </w:pPr>
            <w:r w:rsidRPr="00C44DEB">
              <w:t>PSE (Pagos Seguros en Línea)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DEB" w:rsidRPr="00C44DEB" w:rsidRDefault="00C44DEB" w:rsidP="00C44D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4DEB">
              <w:rPr>
                <w:sz w:val="20"/>
                <w:szCs w:val="20"/>
              </w:rPr>
              <w:t>Como lo dicen en el Colegio Agustiniano en 2016</w:t>
            </w:r>
            <w:r>
              <w:rPr>
                <w:sz w:val="20"/>
                <w:szCs w:val="20"/>
              </w:rPr>
              <w:t>,</w:t>
            </w:r>
            <w:r w:rsidRPr="00C44DEB">
              <w:rPr>
                <w:sz w:val="20"/>
                <w:szCs w:val="20"/>
              </w:rPr>
              <w:t xml:space="preserve"> en su instructivo PSE Sistema centralizado y estandarizado, desarrollado por ACH Colombia, las empresas brindan a los usuarios la posibilidad de realizar sus pagos y/o compras a través de </w:t>
            </w:r>
            <w:r>
              <w:rPr>
                <w:sz w:val="20"/>
                <w:szCs w:val="20"/>
              </w:rPr>
              <w:t>I</w:t>
            </w:r>
            <w:r w:rsidRPr="00C44DEB">
              <w:rPr>
                <w:sz w:val="20"/>
                <w:szCs w:val="20"/>
              </w:rPr>
              <w:t>nternet, debitando los recursos de la entidad financiera donde tenga su dinero y depositándolos en la cuenta de las empresas.</w:t>
            </w:r>
          </w:p>
          <w:p w:rsidR="00C44DEB" w:rsidRPr="00C44DEB" w:rsidRDefault="00C44DEB" w:rsidP="00C44D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4DEB" w:rsidRPr="00C44DEB" w:rsidRDefault="00C44DEB" w:rsidP="00C44DE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4DEB">
              <w:rPr>
                <w:sz w:val="20"/>
                <w:szCs w:val="20"/>
              </w:rPr>
              <w:t>Confirma e identifica en línea y en tiempo real</w:t>
            </w:r>
            <w:r>
              <w:rPr>
                <w:sz w:val="20"/>
                <w:szCs w:val="20"/>
              </w:rPr>
              <w:t>,</w:t>
            </w:r>
            <w:r w:rsidRPr="00C44DEB">
              <w:rPr>
                <w:sz w:val="20"/>
                <w:szCs w:val="20"/>
              </w:rPr>
              <w:t xml:space="preserve"> las transacciones.</w:t>
            </w:r>
          </w:p>
          <w:p w:rsidR="00C44DEB" w:rsidRPr="00C44DEB" w:rsidRDefault="00C44DEB" w:rsidP="00C44D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4DEB" w:rsidRPr="00C44DEB" w:rsidRDefault="00C44DEB" w:rsidP="00C44DE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4DEB">
              <w:rPr>
                <w:sz w:val="20"/>
                <w:szCs w:val="20"/>
              </w:rPr>
              <w:t>Ahorra gastos operativos, tiempos y recursos.</w:t>
            </w:r>
          </w:p>
          <w:p w:rsidR="00C44DEB" w:rsidRPr="00C44DEB" w:rsidRDefault="00C44DEB" w:rsidP="00C44D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4DEB" w:rsidRPr="00C44DEB" w:rsidRDefault="00C44DEB" w:rsidP="00C44DE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4DEB">
              <w:rPr>
                <w:sz w:val="20"/>
                <w:szCs w:val="20"/>
              </w:rPr>
              <w:t>Evita errores en pagos y/o recaudo.</w:t>
            </w:r>
          </w:p>
          <w:p w:rsidR="00C44DEB" w:rsidRPr="00C44DEB" w:rsidRDefault="00C44DEB" w:rsidP="00C44D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44DEB" w:rsidRDefault="00C44DEB" w:rsidP="00C44DE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4DEB">
              <w:rPr>
                <w:sz w:val="20"/>
                <w:szCs w:val="20"/>
              </w:rPr>
              <w:t>Brinda seguridad y agilidad al reducir el manejo de efectivo.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391F0B">
              <w:rPr>
                <w:noProof/>
                <w:sz w:val="20"/>
                <w:szCs w:val="20"/>
              </w:rPr>
              <w:drawing>
                <wp:inline distT="114300" distB="114300" distL="114300" distR="114300" wp14:anchorId="0B9A8217" wp14:editId="417D5471">
                  <wp:extent cx="763216" cy="763216"/>
                  <wp:effectExtent l="0" t="0" r="0" b="0"/>
                  <wp:docPr id="156497468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974688" name="image2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C411A3" w:rsidP="00D33D6A">
            <w:pPr>
              <w:widowControl w:val="0"/>
              <w:spacing w:line="240" w:lineRule="auto"/>
            </w:pPr>
            <w:r w:rsidRPr="00C411A3">
              <w:t xml:space="preserve">Banca </w:t>
            </w:r>
            <w:r>
              <w:t>m</w:t>
            </w:r>
            <w:r w:rsidRPr="00C411A3">
              <w:t>óvil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1A3" w:rsidRPr="00C411A3" w:rsidRDefault="00C411A3" w:rsidP="00C41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11A3">
              <w:rPr>
                <w:sz w:val="20"/>
                <w:szCs w:val="20"/>
              </w:rPr>
              <w:t>Alternativa que ofrecen las entidades financieras, se puede usar a través del celular, teniendo acceso inmediato a los productos para realizar transacciones</w:t>
            </w:r>
            <w:r>
              <w:rPr>
                <w:sz w:val="20"/>
                <w:szCs w:val="20"/>
              </w:rPr>
              <w:t>.</w:t>
            </w:r>
            <w:r w:rsidRPr="00C411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C411A3">
              <w:rPr>
                <w:sz w:val="20"/>
                <w:szCs w:val="20"/>
              </w:rPr>
              <w:t>as operaciones que se pueden realizar por este medio son:</w:t>
            </w:r>
          </w:p>
          <w:p w:rsidR="00C411A3" w:rsidRPr="00C411A3" w:rsidRDefault="00C411A3" w:rsidP="00C411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11A3" w:rsidRPr="00C411A3" w:rsidRDefault="00C411A3" w:rsidP="00C411A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11A3">
              <w:rPr>
                <w:sz w:val="20"/>
                <w:szCs w:val="20"/>
              </w:rPr>
              <w:t>Se pueden realizar consultas</w:t>
            </w:r>
            <w:r>
              <w:rPr>
                <w:sz w:val="20"/>
                <w:szCs w:val="20"/>
              </w:rPr>
              <w:t xml:space="preserve"> y </w:t>
            </w:r>
            <w:r w:rsidRPr="00C411A3">
              <w:rPr>
                <w:sz w:val="20"/>
                <w:szCs w:val="20"/>
              </w:rPr>
              <w:t>pagos.</w:t>
            </w:r>
          </w:p>
          <w:p w:rsidR="00C411A3" w:rsidRPr="00C411A3" w:rsidRDefault="00C411A3" w:rsidP="00C411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11A3" w:rsidRPr="00C411A3" w:rsidRDefault="00C411A3" w:rsidP="00C411A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11A3">
              <w:rPr>
                <w:sz w:val="20"/>
                <w:szCs w:val="20"/>
              </w:rPr>
              <w:t>Tienen medidas de seguridad y elimina</w:t>
            </w:r>
            <w:r>
              <w:rPr>
                <w:sz w:val="20"/>
                <w:szCs w:val="20"/>
              </w:rPr>
              <w:t>n</w:t>
            </w:r>
            <w:r w:rsidRPr="00C411A3">
              <w:rPr>
                <w:sz w:val="20"/>
                <w:szCs w:val="20"/>
              </w:rPr>
              <w:t xml:space="preserve"> traslados innecesarios</w:t>
            </w:r>
            <w:r>
              <w:rPr>
                <w:sz w:val="20"/>
                <w:szCs w:val="20"/>
              </w:rPr>
              <w:t>,</w:t>
            </w:r>
            <w:r w:rsidRPr="00C411A3">
              <w:rPr>
                <w:sz w:val="20"/>
                <w:szCs w:val="20"/>
              </w:rPr>
              <w:t xml:space="preserve"> ahorrando tiempo.</w:t>
            </w:r>
          </w:p>
          <w:p w:rsidR="00C411A3" w:rsidRPr="00C411A3" w:rsidRDefault="00C411A3" w:rsidP="00C411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11A3" w:rsidRPr="00C411A3" w:rsidRDefault="00C411A3" w:rsidP="00C411A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11A3">
              <w:rPr>
                <w:sz w:val="20"/>
                <w:szCs w:val="20"/>
              </w:rPr>
              <w:t>Servicio las 24 horas.</w:t>
            </w:r>
          </w:p>
          <w:p w:rsidR="00C411A3" w:rsidRPr="00C411A3" w:rsidRDefault="00C411A3" w:rsidP="00C411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411A3" w:rsidRPr="00C411A3" w:rsidRDefault="00C411A3" w:rsidP="00C411A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11A3">
              <w:rPr>
                <w:sz w:val="20"/>
                <w:szCs w:val="20"/>
              </w:rPr>
              <w:t>Agilidad en trámites.</w:t>
            </w:r>
          </w:p>
          <w:p w:rsidR="00C411A3" w:rsidRPr="00C411A3" w:rsidRDefault="00C411A3" w:rsidP="00C411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C411A3" w:rsidRDefault="00C411A3" w:rsidP="00C411A3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C411A3">
              <w:rPr>
                <w:sz w:val="20"/>
                <w:szCs w:val="20"/>
              </w:rPr>
              <w:t>Reducción de costos.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391F0B"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00212CBC" wp14:editId="13BDE3F2">
                  <wp:extent cx="763216" cy="763216"/>
                  <wp:effectExtent l="0" t="0" r="0" b="0"/>
                  <wp:docPr id="7165956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59563" name="image2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D6A" w:rsidTr="00C36453">
        <w:trPr>
          <w:gridBefore w:val="1"/>
          <w:wBefore w:w="110" w:type="dxa"/>
          <w:trHeight w:val="420"/>
        </w:trPr>
        <w:tc>
          <w:tcPr>
            <w:tcW w:w="26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341111" w:rsidP="00D33D6A">
            <w:pPr>
              <w:widowControl w:val="0"/>
              <w:spacing w:line="240" w:lineRule="auto"/>
            </w:pPr>
            <w:r w:rsidRPr="00341111">
              <w:t>Tarjeta débito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1111">
              <w:rPr>
                <w:sz w:val="20"/>
                <w:szCs w:val="20"/>
              </w:rPr>
              <w:t>Es un medio de manejo para las cuentas de ahorro y/o corriente de los clientes, son los plásticos con los que se caracteriza al cliente</w:t>
            </w:r>
            <w:r>
              <w:rPr>
                <w:sz w:val="20"/>
                <w:szCs w:val="20"/>
              </w:rPr>
              <w:t>,</w:t>
            </w:r>
            <w:r w:rsidRPr="00341111">
              <w:rPr>
                <w:sz w:val="20"/>
                <w:szCs w:val="20"/>
              </w:rPr>
              <w:t xml:space="preserve"> para ser reconocido por los canales digitales análogos como los son los datáfonos y los cajeros electrónicos</w:t>
            </w:r>
            <w:r>
              <w:rPr>
                <w:sz w:val="20"/>
                <w:szCs w:val="20"/>
              </w:rPr>
              <w:t>.</w:t>
            </w:r>
            <w:r w:rsidRPr="003411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341111">
              <w:rPr>
                <w:sz w:val="20"/>
                <w:szCs w:val="20"/>
              </w:rPr>
              <w:t>stos elementos tienen las siguientes características especiales:</w:t>
            </w:r>
          </w:p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1111" w:rsidRPr="00341111" w:rsidRDefault="00341111" w:rsidP="003411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341111">
              <w:rPr>
                <w:sz w:val="20"/>
                <w:szCs w:val="20"/>
              </w:rPr>
              <w:t>Contiene la información del cliente por medio de un chip.</w:t>
            </w:r>
          </w:p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1111" w:rsidRPr="00341111" w:rsidRDefault="00341111" w:rsidP="003411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341111">
              <w:rPr>
                <w:sz w:val="20"/>
                <w:szCs w:val="20"/>
              </w:rPr>
              <w:t xml:space="preserve">Se pueden realizar transacciones en oficinas, cajeros automáticos, compras en establecimientos comerciales y por </w:t>
            </w:r>
            <w:r>
              <w:rPr>
                <w:sz w:val="20"/>
                <w:szCs w:val="20"/>
              </w:rPr>
              <w:t>I</w:t>
            </w:r>
            <w:r w:rsidRPr="00341111">
              <w:rPr>
                <w:sz w:val="20"/>
                <w:szCs w:val="20"/>
              </w:rPr>
              <w:t>nternet.</w:t>
            </w:r>
          </w:p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1111" w:rsidRPr="00341111" w:rsidRDefault="00341111" w:rsidP="003411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341111">
              <w:rPr>
                <w:sz w:val="20"/>
                <w:szCs w:val="20"/>
              </w:rPr>
              <w:t>Hace las funciones del dinero en efectivo</w:t>
            </w:r>
            <w:r>
              <w:rPr>
                <w:sz w:val="20"/>
                <w:szCs w:val="20"/>
              </w:rPr>
              <w:t>,</w:t>
            </w:r>
            <w:r w:rsidRPr="00341111">
              <w:rPr>
                <w:sz w:val="20"/>
                <w:szCs w:val="20"/>
              </w:rPr>
              <w:t xml:space="preserve"> sin llevarlo consigo.</w:t>
            </w:r>
          </w:p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41111" w:rsidRPr="00341111" w:rsidRDefault="00341111" w:rsidP="003411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341111">
              <w:rPr>
                <w:sz w:val="20"/>
                <w:szCs w:val="20"/>
              </w:rPr>
              <w:t>Tiene clave para su uso y es asignada por el mismo cliente.</w:t>
            </w:r>
          </w:p>
          <w:p w:rsidR="00341111" w:rsidRPr="00341111" w:rsidRDefault="00341111" w:rsidP="003411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D33D6A" w:rsidRPr="00341111" w:rsidRDefault="00341111" w:rsidP="003411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341111">
              <w:rPr>
                <w:sz w:val="20"/>
                <w:szCs w:val="20"/>
              </w:rPr>
              <w:t>Puede o no tener cuota de manejo (depende del tipo de cuenta y de la política de la entidad).</w:t>
            </w:r>
          </w:p>
        </w:tc>
        <w:tc>
          <w:tcPr>
            <w:tcW w:w="29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A" w:rsidRDefault="00D33D6A" w:rsidP="00D33D6A">
            <w:r w:rsidRPr="00391F0B">
              <w:rPr>
                <w:noProof/>
                <w:sz w:val="20"/>
                <w:szCs w:val="20"/>
              </w:rPr>
              <w:drawing>
                <wp:inline distT="114300" distB="114300" distL="114300" distR="114300" wp14:anchorId="4E03CDDC" wp14:editId="02FD3FFA">
                  <wp:extent cx="763216" cy="763216"/>
                  <wp:effectExtent l="0" t="0" r="0" b="0"/>
                  <wp:docPr id="3929464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46417" name="image2.pn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BDD" w:rsidRDefault="00591BDD">
      <w:pPr>
        <w:spacing w:line="240" w:lineRule="auto"/>
        <w:rPr>
          <w:b/>
        </w:rPr>
      </w:pPr>
    </w:p>
    <w:sectPr w:rsidR="00591BDD">
      <w:headerReference w:type="default" r:id="rId16"/>
      <w:footerReference w:type="default" r:id="rId1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1D0" w:rsidRDefault="001671D0">
      <w:pPr>
        <w:spacing w:line="240" w:lineRule="auto"/>
      </w:pPr>
      <w:r>
        <w:separator/>
      </w:r>
    </w:p>
  </w:endnote>
  <w:endnote w:type="continuationSeparator" w:id="0">
    <w:p w:rsidR="001671D0" w:rsidRDefault="00167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BDD" w:rsidRDefault="00591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1D0" w:rsidRDefault="001671D0">
      <w:pPr>
        <w:spacing w:line="240" w:lineRule="auto"/>
      </w:pPr>
      <w:r>
        <w:separator/>
      </w:r>
    </w:p>
  </w:footnote>
  <w:footnote w:type="continuationSeparator" w:id="0">
    <w:p w:rsidR="001671D0" w:rsidRDefault="00167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B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1BD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91BD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91BDD" w:rsidRDefault="00591BD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591BD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91BD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91BDD" w:rsidRDefault="00591BD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5CD"/>
    <w:multiLevelType w:val="hybridMultilevel"/>
    <w:tmpl w:val="7A5E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75D9"/>
    <w:multiLevelType w:val="hybridMultilevel"/>
    <w:tmpl w:val="9BB8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6FA0"/>
    <w:multiLevelType w:val="hybridMultilevel"/>
    <w:tmpl w:val="4384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B2758"/>
    <w:multiLevelType w:val="hybridMultilevel"/>
    <w:tmpl w:val="24B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39B"/>
    <w:multiLevelType w:val="hybridMultilevel"/>
    <w:tmpl w:val="3144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72D3"/>
    <w:multiLevelType w:val="hybridMultilevel"/>
    <w:tmpl w:val="B5F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912B3"/>
    <w:multiLevelType w:val="hybridMultilevel"/>
    <w:tmpl w:val="471E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9388E"/>
    <w:multiLevelType w:val="hybridMultilevel"/>
    <w:tmpl w:val="B4C8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A429F"/>
    <w:multiLevelType w:val="hybridMultilevel"/>
    <w:tmpl w:val="FA2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87446">
    <w:abstractNumId w:val="2"/>
  </w:num>
  <w:num w:numId="2" w16cid:durableId="80104452">
    <w:abstractNumId w:val="1"/>
  </w:num>
  <w:num w:numId="3" w16cid:durableId="2033341321">
    <w:abstractNumId w:val="0"/>
  </w:num>
  <w:num w:numId="4" w16cid:durableId="647519329">
    <w:abstractNumId w:val="5"/>
  </w:num>
  <w:num w:numId="5" w16cid:durableId="639462638">
    <w:abstractNumId w:val="3"/>
  </w:num>
  <w:num w:numId="6" w16cid:durableId="1485125850">
    <w:abstractNumId w:val="6"/>
  </w:num>
  <w:num w:numId="7" w16cid:durableId="2114745349">
    <w:abstractNumId w:val="7"/>
  </w:num>
  <w:num w:numId="8" w16cid:durableId="1415972000">
    <w:abstractNumId w:val="4"/>
  </w:num>
  <w:num w:numId="9" w16cid:durableId="1786076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DD"/>
    <w:rsid w:val="000B781C"/>
    <w:rsid w:val="001671D0"/>
    <w:rsid w:val="00341111"/>
    <w:rsid w:val="00591BDD"/>
    <w:rsid w:val="00C36453"/>
    <w:rsid w:val="00C411A3"/>
    <w:rsid w:val="00C44DEB"/>
    <w:rsid w:val="00D3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CDB2C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09C8EB-3B70-4BE1-8189-A29030923840}"/>
</file>

<file path=customXml/itemProps2.xml><?xml version="1.0" encoding="utf-8"?>
<ds:datastoreItem xmlns:ds="http://schemas.openxmlformats.org/officeDocument/2006/customXml" ds:itemID="{2BED2B0E-74B7-4D2D-8D4E-BDEFC805AD85}"/>
</file>

<file path=customXml/itemProps3.xml><?xml version="1.0" encoding="utf-8"?>
<ds:datastoreItem xmlns:ds="http://schemas.openxmlformats.org/officeDocument/2006/customXml" ds:itemID="{44F785E8-9F7D-4EAD-8913-667A8EB02C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2024-06-05T16:26:00Z</dcterms:created>
  <dcterms:modified xsi:type="dcterms:W3CDTF">2024-06-05T16:52:00Z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