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Tipos de registros contables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Todo comerciante conformará su contabilidad, libros, registros contables, inventarios y estados financieros en general, a las disposiciones del Código de Comercio y demás normas sobre la materia. Dichas normas podrán autorizar el uso de sistemas que, como la microfilmación, faciliten la guarda de su archivo y correspondencia. </w:t>
      </w:r>
      <w:commentRangeStart w:id="0"/>
      <w:r w:rsidDel="00000000" w:rsidR="00000000" w:rsidRPr="00000000">
        <w:rPr>
          <w:rtl w:val="0"/>
        </w:rPr>
      </w:r>
    </w:p>
    <w:p w:rsidR="00000000" w:rsidDel="00000000" w:rsidP="00000000" w:rsidRDefault="00000000" w:rsidRPr="00000000" w14:paraId="00000004">
      <w:pPr>
        <w:jc w:val="both"/>
        <w:rPr/>
      </w:pPr>
      <w:commentRangeEnd w:id="0"/>
      <w:r w:rsidDel="00000000" w:rsidR="00000000" w:rsidRPr="00000000">
        <w:commentReference w:id="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168910</wp:posOffset>
            </wp:positionV>
            <wp:extent cx="2314575" cy="1704975"/>
            <wp:effectExtent b="0" l="0" r="0" t="0"/>
            <wp:wrapSquare wrapText="bothSides" distB="0" distT="0" distL="114300" distR="114300"/>
            <wp:docPr descr="Primer plano de manos contador contando en la calculadora Foto gratis" id="2" name="image1.jpg"/>
            <a:graphic>
              <a:graphicData uri="http://schemas.openxmlformats.org/drawingml/2006/picture">
                <pic:pic>
                  <pic:nvPicPr>
                    <pic:cNvPr descr="Primer plano de manos contador contando en la calculadora Foto gratis" id="0" name="image1.jpg"/>
                    <pic:cNvPicPr preferRelativeResize="0"/>
                  </pic:nvPicPr>
                  <pic:blipFill>
                    <a:blip r:embed="rId7"/>
                    <a:srcRect b="0" l="0" r="0" t="0"/>
                    <a:stretch>
                      <a:fillRect/>
                    </a:stretch>
                  </pic:blipFill>
                  <pic:spPr>
                    <a:xfrm>
                      <a:off x="0" y="0"/>
                      <a:ext cx="2314575" cy="1704975"/>
                    </a:xfrm>
                    <a:prstGeom prst="rect"/>
                    <a:ln/>
                  </pic:spPr>
                </pic:pic>
              </a:graphicData>
            </a:graphic>
          </wp:anchor>
        </w:drawing>
      </w:r>
    </w:p>
    <w:p w:rsidR="00000000" w:rsidDel="00000000" w:rsidP="00000000" w:rsidRDefault="00000000" w:rsidRPr="00000000" w14:paraId="00000005">
      <w:pPr>
        <w:jc w:val="both"/>
        <w:rPr/>
      </w:pPr>
      <w:r w:rsidDel="00000000" w:rsidR="00000000" w:rsidRPr="00000000">
        <w:rPr>
          <w:rtl w:val="0"/>
        </w:rPr>
        <w:t xml:space="preserve">Asimismo, será permitida la utilización de otros procedimientos de reconocido valor técnico-contable, con el fin de asentar sus operaciones, siempre que facilite el conocimiento y prueba de la historia clara, completa y fidedigna de los asientos individuales y el estado general de los negocios.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El Código de Comercio, en el artículo 55, establece también que la obligatoriedad de conservar los comprobantes de los asientos contables, de forma ordenada en los asientos de sus libros de contabilidad, de manera que en cualquier momento se facilite verificar su exactitud.</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Los libros contables se deben registrar en un orden cronológico y con el valor monetario, en idioma castellano, por sistema de partida doble.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Los libros de contabilidad para efectos fiscales se dividen en libros principales y libros auxiliares de acuerdo con el artículo 49 del Código de comercio. Dentro de los libros principales encontramos:</w:t>
      </w:r>
    </w:p>
    <w:p w:rsidR="00000000" w:rsidDel="00000000" w:rsidP="00000000" w:rsidRDefault="00000000" w:rsidRPr="00000000" w14:paraId="00000011">
      <w:pPr>
        <w:jc w:val="both"/>
        <w:rPr/>
      </w:pPr>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Libro mayor y de balance,</w:t>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Libro de inventarios,</w:t>
      </w:r>
    </w:p>
    <w:p w:rsidR="00000000" w:rsidDel="00000000" w:rsidP="00000000" w:rsidRDefault="00000000" w:rsidRPr="00000000" w14:paraId="00000014">
      <w:pPr>
        <w:numPr>
          <w:ilvl w:val="0"/>
          <w:numId w:val="1"/>
        </w:numPr>
        <w:ind w:left="720" w:hanging="360"/>
        <w:jc w:val="both"/>
        <w:rPr/>
      </w:pPr>
      <w:r w:rsidDel="00000000" w:rsidR="00000000" w:rsidRPr="00000000">
        <w:rPr>
          <w:rtl w:val="0"/>
        </w:rPr>
        <w:t xml:space="preserve">Libro diario,</w:t>
      </w:r>
    </w:p>
    <w:p w:rsidR="00000000" w:rsidDel="00000000" w:rsidP="00000000" w:rsidRDefault="00000000" w:rsidRPr="00000000" w14:paraId="00000015">
      <w:pPr>
        <w:numPr>
          <w:ilvl w:val="0"/>
          <w:numId w:val="1"/>
        </w:numPr>
        <w:ind w:left="720" w:hanging="360"/>
        <w:jc w:val="both"/>
        <w:rPr/>
      </w:pPr>
      <w:r w:rsidDel="00000000" w:rsidR="00000000" w:rsidRPr="00000000">
        <w:rPr>
          <w:rtl w:val="0"/>
        </w:rPr>
        <w:t xml:space="preserve">Libro de accionistas y </w:t>
      </w:r>
    </w:p>
    <w:p w:rsidR="00000000" w:rsidDel="00000000" w:rsidP="00000000" w:rsidRDefault="00000000" w:rsidRPr="00000000" w14:paraId="00000016">
      <w:pPr>
        <w:numPr>
          <w:ilvl w:val="0"/>
          <w:numId w:val="1"/>
        </w:numPr>
        <w:ind w:left="720" w:hanging="360"/>
        <w:jc w:val="both"/>
        <w:rPr/>
      </w:pPr>
      <w:r w:rsidDel="00000000" w:rsidR="00000000" w:rsidRPr="00000000">
        <w:rPr>
          <w:rtl w:val="0"/>
        </w:rPr>
        <w:t xml:space="preserve">Libro de actas.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En cuanto a los libros auxiliares se encuentran:</w:t>
      </w:r>
    </w:p>
    <w:p w:rsidR="00000000" w:rsidDel="00000000" w:rsidP="00000000" w:rsidRDefault="00000000" w:rsidRPr="00000000" w14:paraId="00000019">
      <w:pPr>
        <w:jc w:val="both"/>
        <w:rPr/>
      </w:pPr>
      <w:r w:rsidDel="00000000" w:rsidR="00000000" w:rsidRPr="00000000">
        <w:rPr>
          <w:rtl w:val="0"/>
        </w:rPr>
        <w:t xml:space="preserve"> </w:t>
      </w:r>
    </w:p>
    <w:p w:rsidR="00000000" w:rsidDel="00000000" w:rsidP="00000000" w:rsidRDefault="00000000" w:rsidRPr="00000000" w14:paraId="0000001A">
      <w:pPr>
        <w:numPr>
          <w:ilvl w:val="0"/>
          <w:numId w:val="2"/>
        </w:numPr>
        <w:ind w:left="720" w:hanging="360"/>
        <w:jc w:val="both"/>
        <w:rPr/>
      </w:pPr>
      <w:r w:rsidDel="00000000" w:rsidR="00000000" w:rsidRPr="00000000">
        <w:rPr>
          <w:rtl w:val="0"/>
        </w:rPr>
        <w:t xml:space="preserve">Libro de bancos,</w:t>
      </w:r>
    </w:p>
    <w:p w:rsidR="00000000" w:rsidDel="00000000" w:rsidP="00000000" w:rsidRDefault="00000000" w:rsidRPr="00000000" w14:paraId="0000001B">
      <w:pPr>
        <w:numPr>
          <w:ilvl w:val="0"/>
          <w:numId w:val="2"/>
        </w:numPr>
        <w:ind w:left="720" w:hanging="360"/>
        <w:jc w:val="both"/>
        <w:rPr/>
      </w:pPr>
      <w:r w:rsidDel="00000000" w:rsidR="00000000" w:rsidRPr="00000000">
        <w:rPr>
          <w:rtl w:val="0"/>
        </w:rPr>
        <w:t xml:space="preserve">Libro de caja y</w:t>
      </w:r>
    </w:p>
    <w:p w:rsidR="00000000" w:rsidDel="00000000" w:rsidP="00000000" w:rsidRDefault="00000000" w:rsidRPr="00000000" w14:paraId="0000001C">
      <w:pPr>
        <w:numPr>
          <w:ilvl w:val="0"/>
          <w:numId w:val="2"/>
        </w:numPr>
        <w:ind w:left="720" w:hanging="360"/>
        <w:jc w:val="both"/>
        <w:rPr/>
      </w:pPr>
      <w:r w:rsidDel="00000000" w:rsidR="00000000" w:rsidRPr="00000000">
        <w:rPr>
          <w:rtl w:val="0"/>
        </w:rPr>
        <w:t xml:space="preserve">Libros de clientes.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De igual manera, el Código de Comercio en el artículo 57, establece las prohibiciones sobre los libros de comercio. A continuación, podrás encontrar qué es lo que se prohíbe en los libros de comercio: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mc:AlternateContent>
          <mc:Choice Requires="wpg">
            <w:drawing>
              <wp:inline distB="0" distT="0" distL="0" distR="0">
                <wp:extent cx="5486400" cy="4772025"/>
                <wp:effectExtent b="0" l="0" r="0" t="0"/>
                <wp:docPr id="1" name=""/>
                <a:graphic>
                  <a:graphicData uri="http://schemas.microsoft.com/office/word/2010/wordprocessingGroup">
                    <wpg:wgp>
                      <wpg:cNvGrpSpPr/>
                      <wpg:grpSpPr>
                        <a:xfrm>
                          <a:off x="0" y="0"/>
                          <a:ext cx="5486400" cy="4772025"/>
                          <a:chOff x="0" y="0"/>
                          <a:chExt cx="5486400" cy="4772025"/>
                        </a:xfrm>
                      </wpg:grpSpPr>
                      <wpg:grpSp>
                        <wpg:cNvGrpSpPr/>
                        <wpg:grpSpPr>
                          <a:xfrm>
                            <a:off x="0" y="0"/>
                            <a:ext cx="5486400" cy="4772025"/>
                            <a:chOff x="0" y="0"/>
                            <a:chExt cx="5486400" cy="4772025"/>
                          </a:xfrm>
                        </wpg:grpSpPr>
                        <wps:wsp>
                          <wps:cNvSpPr/>
                          <wps:cNvPr id="3" name="Shape 3"/>
                          <wps:spPr>
                            <a:xfrm>
                              <a:off x="0" y="0"/>
                              <a:ext cx="5486400" cy="477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1437"/>
                              <a:ext cx="1714499" cy="1028700"/>
                            </a:xfrm>
                            <a:prstGeom prst="rect">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0" y="71437"/>
                              <a:ext cx="1714499" cy="102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 Alterar en los asientos el orden o la fecha de las operaciones a que éstos se refieren.</w:t>
                                </w:r>
                              </w:p>
                            </w:txbxContent>
                          </wps:txbx>
                          <wps:bodyPr anchorCtr="0" anchor="ctr" bIns="38100" lIns="38100" spcFirstLastPara="1" rIns="38100" wrap="square" tIns="38100">
                            <a:noAutofit/>
                          </wps:bodyPr>
                        </wps:wsp>
                        <wps:wsp>
                          <wps:cNvSpPr/>
                          <wps:cNvPr id="6" name="Shape 6"/>
                          <wps:spPr>
                            <a:xfrm>
                              <a:off x="1885950" y="71437"/>
                              <a:ext cx="1714499" cy="1028700"/>
                            </a:xfrm>
                            <a:prstGeom prst="rect">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885950" y="71437"/>
                              <a:ext cx="1714499" cy="102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2. Dejar espacios que faciliten intercalaciones o adiciones en el texto de los asientos o a continuación de los mismos.</w:t>
                                </w:r>
                              </w:p>
                            </w:txbxContent>
                          </wps:txbx>
                          <wps:bodyPr anchorCtr="0" anchor="ctr" bIns="38100" lIns="38100" spcFirstLastPara="1" rIns="38100" wrap="square" tIns="38100">
                            <a:noAutofit/>
                          </wps:bodyPr>
                        </wps:wsp>
                        <wps:wsp>
                          <wps:cNvSpPr/>
                          <wps:cNvPr id="8" name="Shape 8"/>
                          <wps:spPr>
                            <a:xfrm>
                              <a:off x="3771900" y="71437"/>
                              <a:ext cx="1714499" cy="1028700"/>
                            </a:xfrm>
                            <a:prstGeom prst="rect">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771900" y="71437"/>
                              <a:ext cx="1714499" cy="102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3. Hacer interlineaciones, raspaduras o correcciones en los asientos. Cualquier error u omisión se salvará con un nuevo asiento en la fecha en que se advirtiere.</w:t>
                                </w:r>
                              </w:p>
                            </w:txbxContent>
                          </wps:txbx>
                          <wps:bodyPr anchorCtr="0" anchor="ctr" bIns="38100" lIns="38100" spcFirstLastPara="1" rIns="38100" wrap="square" tIns="38100">
                            <a:noAutofit/>
                          </wps:bodyPr>
                        </wps:wsp>
                        <wps:wsp>
                          <wps:cNvSpPr/>
                          <wps:cNvPr id="10" name="Shape 10"/>
                          <wps:spPr>
                            <a:xfrm>
                              <a:off x="0" y="1271587"/>
                              <a:ext cx="1714499" cy="1028700"/>
                            </a:xfrm>
                            <a:prstGeom prst="rect">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0" y="1271587"/>
                              <a:ext cx="1714499" cy="102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4. Borrar o tachar en todo o en parte los asientos. </w:t>
                                </w:r>
                              </w:p>
                            </w:txbxContent>
                          </wps:txbx>
                          <wps:bodyPr anchorCtr="0" anchor="ctr" bIns="38100" lIns="38100" spcFirstLastPara="1" rIns="38100" wrap="square" tIns="38100">
                            <a:noAutofit/>
                          </wps:bodyPr>
                        </wps:wsp>
                        <wps:wsp>
                          <wps:cNvSpPr/>
                          <wps:cNvPr id="12" name="Shape 12"/>
                          <wps:spPr>
                            <a:xfrm>
                              <a:off x="1885950" y="1271587"/>
                              <a:ext cx="1714499" cy="1028700"/>
                            </a:xfrm>
                            <a:prstGeom prst="rect">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885950" y="1271587"/>
                              <a:ext cx="1714499" cy="102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5. Arrancar hojas, alterar el orden de las mismas o mutilar los libros, o alterar los archivos electrónicos.</w:t>
                                </w:r>
                              </w:p>
                            </w:txbxContent>
                          </wps:txbx>
                          <wps:bodyPr anchorCtr="0" anchor="ctr" bIns="38100" lIns="38100" spcFirstLastPara="1" rIns="38100" wrap="square" tIns="38100">
                            <a:noAutofit/>
                          </wps:bodyPr>
                        </wps:wsp>
                        <wps:wsp>
                          <wps:cNvSpPr/>
                          <wps:cNvPr id="14" name="Shape 14"/>
                          <wps:spPr>
                            <a:xfrm>
                              <a:off x="3771900" y="1271587"/>
                              <a:ext cx="1714499" cy="1028700"/>
                            </a:xfrm>
                            <a:prstGeom prst="rect">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771900" y="1271587"/>
                              <a:ext cx="1714499" cy="102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6. Crear cuentas en los libros contables que no cuenten con los comprobantes y soportes correspondientes.</w:t>
                                </w:r>
                              </w:p>
                            </w:txbxContent>
                          </wps:txbx>
                          <wps:bodyPr anchorCtr="0" anchor="ctr" bIns="38100" lIns="38100" spcFirstLastPara="1" rIns="38100" wrap="square" tIns="38100">
                            <a:noAutofit/>
                          </wps:bodyPr>
                        </wps:wsp>
                        <wps:wsp>
                          <wps:cNvSpPr/>
                          <wps:cNvPr id="16" name="Shape 16"/>
                          <wps:spPr>
                            <a:xfrm>
                              <a:off x="0" y="2471737"/>
                              <a:ext cx="1714499" cy="1028700"/>
                            </a:xfrm>
                            <a:prstGeom prst="rect">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0" y="2471737"/>
                              <a:ext cx="1714499" cy="102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7. No asentar en los libros contables las operaciones efectuadas.</w:t>
                                </w:r>
                              </w:p>
                            </w:txbxContent>
                          </wps:txbx>
                          <wps:bodyPr anchorCtr="0" anchor="ctr" bIns="38100" lIns="38100" spcFirstLastPara="1" rIns="38100" wrap="square" tIns="38100">
                            <a:noAutofit/>
                          </wps:bodyPr>
                        </wps:wsp>
                        <wps:wsp>
                          <wps:cNvSpPr/>
                          <wps:cNvPr id="18" name="Shape 18"/>
                          <wps:spPr>
                            <a:xfrm>
                              <a:off x="1885950" y="2471737"/>
                              <a:ext cx="1714499" cy="1028700"/>
                            </a:xfrm>
                            <a:prstGeom prst="rect">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1885950" y="2471737"/>
                              <a:ext cx="1714499" cy="102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8. Llevar doble contabilidad, es decir, llevar dos o más libros iguales en los que registre en forma diferente las mismas operaciones, o cuando tenga distintos comprobantes sobre los mismos actos.</w:t>
                                </w:r>
                              </w:p>
                            </w:txbxContent>
                          </wps:txbx>
                          <wps:bodyPr anchorCtr="0" anchor="ctr" bIns="38100" lIns="38100" spcFirstLastPara="1" rIns="38100" wrap="square" tIns="38100">
                            <a:noAutofit/>
                          </wps:bodyPr>
                        </wps:wsp>
                        <wps:wsp>
                          <wps:cNvSpPr/>
                          <wps:cNvPr id="20" name="Shape 20"/>
                          <wps:spPr>
                            <a:xfrm>
                              <a:off x="3771900" y="2471737"/>
                              <a:ext cx="1714499" cy="1028700"/>
                            </a:xfrm>
                            <a:prstGeom prst="rect">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3771900" y="2471737"/>
                              <a:ext cx="1714499" cy="102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9. Registrar en los libros contables operaciones de manera inadecuada, gastos inexistentes o pasivos sin la identificación correcta.</w:t>
                                </w:r>
                              </w:p>
                            </w:txbxContent>
                          </wps:txbx>
                          <wps:bodyPr anchorCtr="0" anchor="ctr" bIns="38100" lIns="38100" spcFirstLastPara="1" rIns="38100" wrap="square" tIns="38100">
                            <a:noAutofit/>
                          </wps:bodyPr>
                        </wps:wsp>
                        <wps:wsp>
                          <wps:cNvSpPr/>
                          <wps:cNvPr id="22" name="Shape 22"/>
                          <wps:spPr>
                            <a:xfrm>
                              <a:off x="942975" y="3671887"/>
                              <a:ext cx="1714499" cy="1028700"/>
                            </a:xfrm>
                            <a:prstGeom prst="rect">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942975" y="3671887"/>
                              <a:ext cx="1714499" cy="102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10. Utilizar documentos falsos que sirvan de soporte a la contabilidad.</w:t>
                                </w:r>
                              </w:p>
                            </w:txbxContent>
                          </wps:txbx>
                          <wps:bodyPr anchorCtr="0" anchor="ctr" bIns="38100" lIns="38100" spcFirstLastPara="1" rIns="38100" wrap="square" tIns="38100">
                            <a:noAutofit/>
                          </wps:bodyPr>
                        </wps:wsp>
                        <wps:wsp>
                          <wps:cNvSpPr/>
                          <wps:cNvPr id="24" name="Shape 24"/>
                          <wps:spPr>
                            <a:xfrm>
                              <a:off x="2828925" y="3671887"/>
                              <a:ext cx="1714499" cy="1028700"/>
                            </a:xfrm>
                            <a:prstGeom prst="rect">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2828925" y="3671887"/>
                              <a:ext cx="1714499" cy="1028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11. Abstenerse de revelar partidas en los estados financieros, sin la debida correspondencia con las cuentas asentadas en los libros de contabilidad.</w:t>
                                </w:r>
                              </w:p>
                            </w:txbxContent>
                          </wps:txbx>
                          <wps:bodyPr anchorCtr="0" anchor="ctr" bIns="38100" lIns="38100" spcFirstLastPara="1" rIns="38100" wrap="square" tIns="38100">
                            <a:noAutofit/>
                          </wps:bodyPr>
                        </wps:wsp>
                      </wpg:grpSp>
                    </wpg:wgp>
                  </a:graphicData>
                </a:graphic>
              </wp:inline>
            </w:drawing>
          </mc:Choice>
          <mc:Fallback>
            <w:drawing>
              <wp:inline distB="0" distT="0" distL="0" distR="0">
                <wp:extent cx="5486400" cy="4772025"/>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86400" cy="4772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oria Alexandra Orejarena Barrios" w:id="0" w:date="2022-06-20T14:20:00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de la imagen: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https://www.freepik.es/foto-gratis/primer-plano-manos-contador-contando-calculadora_1121888.htm#query=contabilidad&amp;from_query=registros%20contables&amp;position=3&amp;from_view=search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