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1"/>
        <w:tblW w:w="9262.0" w:type="dxa"/>
        <w:jc w:val="center"/>
        <w:tblLayout w:type="fixed"/>
        <w:tblLook w:val="0400"/>
      </w:tblPr>
      <w:tblGrid>
        <w:gridCol w:w="2830"/>
        <w:gridCol w:w="6432"/>
        <w:tblGridChange w:id="0">
          <w:tblGrid>
            <w:gridCol w:w="2830"/>
            <w:gridCol w:w="6432"/>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2">
            <w:pPr>
              <w:widowControl w:val="0"/>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519"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4">
            <w:pPr>
              <w:widowControl w:val="0"/>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Normativa ambiental y manejo de residuos.</w:t>
            </w:r>
          </w:p>
        </w:tc>
      </w:tr>
      <w:tr>
        <w:trPr>
          <w:cantSplit w:val="0"/>
          <w:trHeight w:val="554"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7">
            <w:pPr>
              <w:widowControl w:val="0"/>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sz w:val="20"/>
                <w:szCs w:val="20"/>
              </w:rPr>
            </w:pPr>
            <w:r w:rsidDel="00000000" w:rsidR="00000000" w:rsidRPr="00000000">
              <w:rPr>
                <w:sz w:val="20"/>
                <w:szCs w:val="20"/>
                <w:rtl w:val="0"/>
              </w:rPr>
              <w:t xml:space="preserve">Afianzar conocimientos sobre normatividad ambiental y el manejo de residuos generados en el sector comercial, según normativa vigente.</w:t>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9">
            <w:pPr>
              <w:widowControl w:val="0"/>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rPr>
                <w:sz w:val="20"/>
                <w:szCs w:val="20"/>
              </w:rPr>
            </w:pPr>
            <w:r w:rsidDel="00000000" w:rsidR="00000000" w:rsidRPr="00000000">
              <w:rPr>
                <w:sz w:val="20"/>
                <w:szCs w:val="20"/>
                <w:rtl w:val="0"/>
              </w:rPr>
              <w:t xml:space="preserve">Respuestas a preguntas múltiples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B">
            <w:pPr>
              <w:widowControl w:val="0"/>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0C">
            <w:pPr>
              <w:widowControl w:val="0"/>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Actividad didáctica 1. CF002</w:t>
            </w:r>
          </w:p>
        </w:tc>
      </w:tr>
    </w:tbl>
    <w:p w:rsidR="00000000" w:rsidDel="00000000" w:rsidP="00000000" w:rsidRDefault="00000000" w:rsidRPr="00000000" w14:paraId="0000000F">
      <w:pPr>
        <w:rPr>
          <w:b w:val="1"/>
          <w:color w:val="000000"/>
          <w:sz w:val="20"/>
          <w:szCs w:val="20"/>
        </w:rPr>
      </w:pPr>
      <w:r w:rsidDel="00000000" w:rsidR="00000000" w:rsidRPr="00000000">
        <w:rPr>
          <w:rtl w:val="0"/>
        </w:rPr>
      </w:r>
    </w:p>
    <w:p w:rsidR="00000000" w:rsidDel="00000000" w:rsidP="00000000" w:rsidRDefault="00000000" w:rsidRPr="00000000" w14:paraId="00000010">
      <w:pPr>
        <w:jc w:val="both"/>
        <w:rPr>
          <w:b w:val="1"/>
          <w:color w:val="000000"/>
          <w:sz w:val="20"/>
          <w:szCs w:val="20"/>
        </w:rPr>
      </w:pPr>
      <w:r w:rsidDel="00000000" w:rsidR="00000000" w:rsidRPr="00000000">
        <w:rPr>
          <w:rtl w:val="0"/>
        </w:rPr>
      </w:r>
    </w:p>
    <w:p w:rsidR="00000000" w:rsidDel="00000000" w:rsidP="00000000" w:rsidRDefault="00000000" w:rsidRPr="00000000" w14:paraId="00000011">
      <w:pPr>
        <w:jc w:val="both"/>
        <w:rPr>
          <w:b w:val="1"/>
          <w:color w:val="000000"/>
          <w:sz w:val="20"/>
          <w:szCs w:val="20"/>
        </w:rPr>
      </w:pPr>
      <w:r w:rsidDel="00000000" w:rsidR="00000000" w:rsidRPr="00000000">
        <w:rPr>
          <w:b w:val="1"/>
          <w:color w:val="000000"/>
          <w:sz w:val="20"/>
          <w:szCs w:val="20"/>
          <w:rtl w:val="0"/>
        </w:rPr>
        <w:t xml:space="preserve">Desarrollo de la actividad:</w:t>
      </w:r>
    </w:p>
    <w:p w:rsidR="00000000" w:rsidDel="00000000" w:rsidP="00000000" w:rsidRDefault="00000000" w:rsidRPr="00000000" w14:paraId="00000012">
      <w:pPr>
        <w:jc w:val="both"/>
        <w:rPr>
          <w:b w:val="1"/>
          <w:color w:val="00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jc w:val="both"/>
        <w:rPr>
          <w:color w:val="000000"/>
          <w:sz w:val="20"/>
          <w:szCs w:val="20"/>
        </w:rPr>
      </w:pPr>
      <w:r w:rsidDel="00000000" w:rsidR="00000000" w:rsidRPr="00000000">
        <w:rPr>
          <w:color w:val="000000"/>
          <w:sz w:val="20"/>
          <w:szCs w:val="20"/>
          <w:rtl w:val="0"/>
        </w:rPr>
        <w:t xml:space="preserve">Estimado aprendiz, lea detenidamente cada uno de los enunciados y seleccione la respuesta que considere correcta. Para ello, tenga en cuenta este componente formativo y afiance los conocimientos adquiridos.</w:t>
      </w:r>
    </w:p>
    <w:p w:rsidR="00000000" w:rsidDel="00000000" w:rsidP="00000000" w:rsidRDefault="00000000" w:rsidRPr="00000000" w14:paraId="00000014">
      <w:pPr>
        <w:jc w:val="both"/>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1. Según la guía para el manejo integral de residuos, subsector de centros comerciales, el manejo integral de residuos implica: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a. La recolección que hace la empresa de servicios públicos varias veces </w:t>
      </w:r>
      <w:r w:rsidDel="00000000" w:rsidR="00000000" w:rsidRPr="00000000">
        <w:rPr>
          <w:sz w:val="20"/>
          <w:szCs w:val="20"/>
          <w:rtl w:val="0"/>
        </w:rPr>
        <w:t xml:space="preserve">a la</w:t>
      </w:r>
      <w:r w:rsidDel="00000000" w:rsidR="00000000" w:rsidRPr="00000000">
        <w:rPr>
          <w:color w:val="000000"/>
          <w:sz w:val="20"/>
          <w:szCs w:val="20"/>
          <w:rtl w:val="0"/>
        </w:rPr>
        <w:t xml:space="preserve"> semana.</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b. La separación de los residuos generados en todo el comercio.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c. La planeación y cobertura de las actividades relacionadas con los residuos</w:t>
      </w:r>
      <w:r w:rsidDel="00000000" w:rsidR="00000000" w:rsidRPr="00000000">
        <w:rPr>
          <w:color w:val="000000"/>
          <w:sz w:val="20"/>
          <w:szCs w:val="20"/>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d. El recorrido que hace el personal de aseo en los centros comerciales.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según la guía de manejo integral de residuos, el manejo integral de residuos en el subsector de centros comerciales implica la planeación y cobertura de las actividades relacionadas con los residuos.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2. El tipo de residuos que generan los centros comerciales son: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a. Envases de vidrio, cartón, plástico, residuos cortantes y punzantes, sobrantes de mercancía y productos defectuosos</w:t>
      </w:r>
      <w:r w:rsidDel="00000000" w:rsidR="00000000" w:rsidRPr="00000000">
        <w:rPr>
          <w:color w:val="000000"/>
          <w:sz w:val="20"/>
          <w:szCs w:val="2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b. Sobrantes de comidas de los locales de comestibles.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Todos los productos sobrantes en los diferentes locales comerciales.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d. Ninguna de las anteriores.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el tipo de residuos que generan los centros comerciales son: envases de vidrio, cartón, plástico, residuos cortantes y punzantes, sobrantes de mercancía y productos defectuosos.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3. Como se clasifican los residuos generados en los centros comerciales, según el decreto 315 de 2014:</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a. Residuos químicos.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b. Residuos no peligrosos</w:t>
      </w:r>
      <w:r w:rsidDel="00000000" w:rsidR="00000000" w:rsidRPr="00000000">
        <w:rPr>
          <w:color w:val="000000"/>
          <w:sz w:val="20"/>
          <w:szCs w:val="20"/>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Residuos amigables con el medio ambiente.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d. Residuos orgánicos.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según el decreto 315 de 2014, los residuos generados en los centros comerciales se clasifican </w:t>
      </w:r>
      <w:r w:rsidDel="00000000" w:rsidR="00000000" w:rsidRPr="00000000">
        <w:rPr>
          <w:sz w:val="20"/>
          <w:szCs w:val="20"/>
          <w:rtl w:val="0"/>
        </w:rPr>
        <w:t xml:space="preserve">como</w:t>
      </w:r>
      <w:r w:rsidDel="00000000" w:rsidR="00000000" w:rsidRPr="00000000">
        <w:rPr>
          <w:color w:val="000000"/>
          <w:sz w:val="20"/>
          <w:szCs w:val="20"/>
          <w:rtl w:val="0"/>
        </w:rPr>
        <w:t xml:space="preserve"> residuos no peligrosos.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4. Los residuos comerciales e institucionales son: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a. Desechos que salen de cada uno de los almacenes de los centros comerciales.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b. Productos que ya no se usan.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Residuos alimenticios y materias primas.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d. Todo objeto, material, sustancia o elemento consecuencia del consumo o uso de bienes o actividades domésticas, comerciales o institucionales.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los residuos comerciales e institucionales son todo objeto, material, sustancia o elemento consecuencia del consumo o uso de bienes o actividades domésticas, comerciales o institucionales.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5. Que se hace con el residuo comercial:</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a. Se lleva al vertedero municipal.</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b. Son objeto de recogida selectiva diferenciada de las de los residuos de origen domiciliario</w:t>
      </w:r>
      <w:r w:rsidDel="00000000" w:rsidR="00000000" w:rsidRPr="00000000">
        <w:rPr>
          <w:color w:val="000000"/>
          <w:sz w:val="20"/>
          <w:szCs w:val="20"/>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Los guardan para ayudar a los recicladores.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d. Ninguna de las anteriores.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para los centros comerciales los residuos son objeto de recogida selectiva diferenciada de las de los residuos de origen domiciliario.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6. Según la clasificación de colores para la recolección de residuos sólidos el recipiente de color verde es para:</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a. Recolectar los residuos orgánicos aprovechables, por ejemplo, los que salen de los almacenes de venta de comida.</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b. Recolectar los residuos que produce el campo.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Recoger las sobras de los restaurantes de los centros comerciales.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d. Todas las anteriores.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según la clasificación de colores para la recolección de residuos sólidos en recipiente de color verde es para recolectar los residuos orgánicos aprovechables, por ejemplo, los que salen de los almacenes de venta de comida.</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b w:val="1"/>
          <w:color w:val="000000"/>
          <w:sz w:val="20"/>
          <w:szCs w:val="20"/>
        </w:rPr>
      </w:pPr>
      <w:r w:rsidDel="00000000" w:rsidR="00000000" w:rsidRPr="00000000">
        <w:rPr>
          <w:b w:val="1"/>
          <w:color w:val="000000"/>
          <w:sz w:val="20"/>
          <w:szCs w:val="20"/>
          <w:rtl w:val="0"/>
        </w:rPr>
        <w:t xml:space="preserve">7. Según la clasificación de colores para la recolección de residuos sólidos el recipiente de color blanco es para:</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a. Recolectar todo el papel que generan los distintos formatos comerciales.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b. Recibir la materia prima desechada desde los diferentes almacenes del centro comercial.</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Recolectar los diferentes materiales industriales que producen los centros comerciales.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d. Recolectar los residuos aprovechables, cartón plástico, papel, vidrio y metales</w:t>
      </w:r>
      <w:r w:rsidDel="00000000" w:rsidR="00000000" w:rsidRPr="00000000">
        <w:rPr>
          <w:color w:val="000000"/>
          <w:sz w:val="20"/>
          <w:szCs w:val="20"/>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según la clasificación de colores para la recolección de residuos sólidos el recipiente de color blanco es para recolectar los residuos aprovechables, cartón plástico, papel, vidrio y metales.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8. Según la clasificación de colores para la recolección de residuos sólidos el recipiente de color negro es para</w:t>
      </w:r>
      <w:r w:rsidDel="00000000" w:rsidR="00000000" w:rsidRPr="00000000">
        <w:rPr>
          <w:color w:val="000000"/>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a. Recuperar los residuos aprovechables de la dinámica de los centros comerciales.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highlight w:val="yellow"/>
          <w:rtl w:val="0"/>
        </w:rPr>
        <w:t xml:space="preserve">b. Para recolectar los residuos no aprovechables, por ejemplo, papel higiénico, servilletas, papeles y cartones contaminados con comida o papel metalizado</w:t>
      </w:r>
      <w:r w:rsidDel="00000000" w:rsidR="00000000" w:rsidRPr="00000000">
        <w:rPr>
          <w:color w:val="000000"/>
          <w:sz w:val="20"/>
          <w:szCs w:val="20"/>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c. Resguardar los desechos generados en las residencias aledañas al centro comercial.</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color w:val="000000"/>
          <w:sz w:val="20"/>
          <w:szCs w:val="20"/>
          <w:rtl w:val="0"/>
        </w:rPr>
        <w:t xml:space="preserve">d. Todas las anteriores.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positiva</w:t>
      </w:r>
      <w:r w:rsidDel="00000000" w:rsidR="00000000" w:rsidRPr="00000000">
        <w:rPr>
          <w:color w:val="000000"/>
          <w:sz w:val="20"/>
          <w:szCs w:val="20"/>
          <w:rtl w:val="0"/>
        </w:rPr>
        <w:t xml:space="preserve">: Felicitaciones, la respuesta es correcta, según la clasificación de colores para la recolección de residuos sólidos el recipiente de color negro es para recolectar los residuos no aprovechables, por ejemplo, papel higiénico, servilletas, papeles y cartones contaminados con comida o papel metalizado.</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b w:val="1"/>
          <w:color w:val="000000"/>
          <w:sz w:val="20"/>
          <w:szCs w:val="20"/>
          <w:rtl w:val="0"/>
        </w:rPr>
        <w:t xml:space="preserve">Retroalimentación para respuesta negativa</w:t>
      </w:r>
      <w:r w:rsidDel="00000000" w:rsidR="00000000" w:rsidRPr="00000000">
        <w:rPr>
          <w:color w:val="000000"/>
          <w:sz w:val="20"/>
          <w:szCs w:val="20"/>
          <w:rtl w:val="0"/>
        </w:rPr>
        <w:t xml:space="preserve">: No logró responder adecuadamente la pregunta, es necesario que lea nuevamente el material correspondiente a este componente formativo.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jc w:val="both"/>
        <w:rPr>
          <w:color w:val="000000"/>
          <w:sz w:val="20"/>
          <w:szCs w:val="20"/>
        </w:rPr>
      </w:pPr>
      <w:bookmarkStart w:colFirst="0" w:colLast="0" w:name="_heading=h.1fob9te" w:id="2"/>
      <w:bookmarkEnd w:id="2"/>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line="240" w:lineRule="auto"/>
    </w:pPr>
    <w:tblPr>
      <w:tblStyleRowBandSize w:val="1"/>
      <w:tblStyleColBandSize w:val="1"/>
      <w:tblCellMar>
        <w:left w:w="115.0" w:type="dxa"/>
        <w:right w:w="115.0" w:type="dxa"/>
      </w:tblCellMar>
    </w:tblPr>
  </w:style>
  <w:style w:type="paragraph" w:styleId="Sinespaciado">
    <w:name w:val="No Spacing"/>
    <w:uiPriority w:val="1"/>
    <w:qFormat w:val="1"/>
    <w:rsid w:val="0053199F"/>
    <w:pPr>
      <w:spacing w:line="240" w:lineRule="auto"/>
    </w:pPr>
    <w:rPr>
      <w:rFonts w:ascii="Times New Roman" w:cs="Times New Roman" w:eastAsia="Times New Roman" w:hAnsi="Times New Roman"/>
      <w:sz w:val="24"/>
      <w:szCs w:val="24"/>
      <w:lang w:eastAsia="es-ES"/>
    </w:rPr>
  </w:style>
  <w:style w:type="table" w:styleId="a0" w:customStyle="1">
    <w:basedOn w:val="TableNormal0"/>
    <w:pPr>
      <w:spacing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rBot1ZDtllnolBC9oyH/wBrpw==">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2022-05-06T17:56:00Z</dcterms:created>
  <dc:creator>Esperanza</dc:creator>
</cp:coreProperties>
</file>