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E7AD3" w14:textId="7DBC6413" w:rsidR="0024477A" w:rsidRPr="0024477A" w:rsidRDefault="0024477A" w:rsidP="0024477A">
      <w:pPr>
        <w:jc w:val="center"/>
        <w:rPr>
          <w:b/>
          <w:bCs/>
          <w:lang w:val="es-CO"/>
        </w:rPr>
      </w:pPr>
      <w:r w:rsidRPr="0024477A">
        <w:rPr>
          <w:b/>
          <w:bCs/>
          <w:lang w:val="es-CO"/>
        </w:rPr>
        <w:t>Criterios de la evaluación</w:t>
      </w:r>
    </w:p>
    <w:p w14:paraId="7CCD34BA" w14:textId="0D9B3B38" w:rsidR="00D27F96" w:rsidRDefault="0024477A" w:rsidP="0024477A">
      <w:pPr>
        <w:rPr>
          <w:lang w:val="es-CO"/>
        </w:rPr>
      </w:pPr>
      <w:r w:rsidRPr="0024477A">
        <w:rPr>
          <w:lang w:val="es-CO"/>
        </w:rPr>
        <w:t xml:space="preserve">Los criterios fundamentales de evaluación, utilizados en cualquier hato ganadero, deben llevar una lista de chequeo que será previamente revisada, evaluada y diligenciada para la obtención del certificado de las </w:t>
      </w:r>
      <w:proofErr w:type="spellStart"/>
      <w:r w:rsidRPr="0024477A">
        <w:rPr>
          <w:lang w:val="es-CO"/>
        </w:rPr>
        <w:t>BPG</w:t>
      </w:r>
      <w:proofErr w:type="spellEnd"/>
      <w:r w:rsidRPr="0024477A">
        <w:rPr>
          <w:lang w:val="es-CO"/>
        </w:rPr>
        <w:t>.</w:t>
      </w:r>
      <w:r>
        <w:rPr>
          <w:lang w:val="es-CO"/>
        </w:rPr>
        <w:t xml:space="preserve"> </w:t>
      </w:r>
      <w:r w:rsidRPr="0024477A">
        <w:rPr>
          <w:lang w:val="es-CO"/>
        </w:rPr>
        <w:t>Analice la</w:t>
      </w:r>
      <w:r>
        <w:rPr>
          <w:lang w:val="es-CO"/>
        </w:rPr>
        <w:t>s</w:t>
      </w:r>
      <w:r w:rsidRPr="0024477A">
        <w:rPr>
          <w:lang w:val="es-CO"/>
        </w:rPr>
        <w:t xml:space="preserve"> siguiente</w:t>
      </w:r>
      <w:r>
        <w:rPr>
          <w:lang w:val="es-CO"/>
        </w:rPr>
        <w:t>s</w:t>
      </w:r>
      <w:r w:rsidRPr="0024477A">
        <w:rPr>
          <w:lang w:val="es-CO"/>
        </w:rPr>
        <w:t xml:space="preserve"> tabla</w:t>
      </w:r>
      <w:r>
        <w:rPr>
          <w:lang w:val="es-CO"/>
        </w:rPr>
        <w:t>s</w:t>
      </w:r>
      <w:r w:rsidRPr="0024477A">
        <w:rPr>
          <w:lang w:val="es-CO"/>
        </w:rPr>
        <w:t>, en la</w:t>
      </w:r>
      <w:r>
        <w:rPr>
          <w:lang w:val="es-CO"/>
        </w:rPr>
        <w:t>s</w:t>
      </w:r>
      <w:r w:rsidRPr="0024477A">
        <w:rPr>
          <w:lang w:val="es-CO"/>
        </w:rPr>
        <w:t xml:space="preserve"> cual</w:t>
      </w:r>
      <w:r>
        <w:rPr>
          <w:lang w:val="es-CO"/>
        </w:rPr>
        <w:t>es</w:t>
      </w:r>
      <w:r w:rsidRPr="0024477A">
        <w:rPr>
          <w:lang w:val="es-CO"/>
        </w:rPr>
        <w:t xml:space="preserve"> se detallan aspectos generales de suma importancia para la aplicación de las estrategias de evaluación en la implementación de </w:t>
      </w:r>
      <w:proofErr w:type="spellStart"/>
      <w:r w:rsidRPr="0024477A">
        <w:rPr>
          <w:lang w:val="es-CO"/>
        </w:rPr>
        <w:t>BPG</w:t>
      </w:r>
      <w:proofErr w:type="spellEnd"/>
      <w:r w:rsidRPr="0024477A">
        <w:rPr>
          <w:lang w:val="es-CO"/>
        </w:rPr>
        <w:t>:</w:t>
      </w:r>
    </w:p>
    <w:p w14:paraId="51655847" w14:textId="3C464C68" w:rsidR="00400EA7" w:rsidRPr="00400EA7" w:rsidRDefault="0024477A" w:rsidP="00400EA7">
      <w:r>
        <w:rPr>
          <w:b/>
          <w:bCs/>
        </w:rPr>
        <w:t xml:space="preserve">Tabla 1. </w:t>
      </w:r>
      <w:r w:rsidR="00400EA7" w:rsidRPr="00400EA7">
        <w:t>Sanidad Animal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948"/>
        <w:gridCol w:w="3524"/>
        <w:gridCol w:w="1106"/>
        <w:gridCol w:w="1712"/>
      </w:tblGrid>
      <w:tr w:rsidR="00400EA7" w:rsidRPr="00400EA7" w14:paraId="71498E39" w14:textId="77777777" w:rsidTr="00400EA7">
        <w:tc>
          <w:tcPr>
            <w:tcW w:w="0" w:type="auto"/>
            <w:hideMark/>
          </w:tcPr>
          <w:p w14:paraId="37F873D6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No.</w:t>
            </w:r>
          </w:p>
        </w:tc>
        <w:tc>
          <w:tcPr>
            <w:tcW w:w="0" w:type="auto"/>
            <w:hideMark/>
          </w:tcPr>
          <w:p w14:paraId="51809CA0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PUNTOS DE CONTROL</w:t>
            </w:r>
          </w:p>
        </w:tc>
        <w:tc>
          <w:tcPr>
            <w:tcW w:w="0" w:type="auto"/>
            <w:hideMark/>
          </w:tcPr>
          <w:p w14:paraId="4E0595B1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CRITERIOS DE CUMPLIMIENTO</w:t>
            </w:r>
          </w:p>
        </w:tc>
        <w:tc>
          <w:tcPr>
            <w:tcW w:w="0" w:type="auto"/>
            <w:hideMark/>
          </w:tcPr>
          <w:p w14:paraId="474C92E6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TIPO CRITERIO</w:t>
            </w:r>
          </w:p>
        </w:tc>
        <w:tc>
          <w:tcPr>
            <w:tcW w:w="0" w:type="auto"/>
            <w:hideMark/>
          </w:tcPr>
          <w:p w14:paraId="5FAC5519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REFERENTE NORMATIVO</w:t>
            </w:r>
          </w:p>
        </w:tc>
      </w:tr>
      <w:tr w:rsidR="00400EA7" w:rsidRPr="00400EA7" w14:paraId="2846D177" w14:textId="77777777" w:rsidTr="00400EA7">
        <w:tc>
          <w:tcPr>
            <w:tcW w:w="0" w:type="auto"/>
            <w:hideMark/>
          </w:tcPr>
          <w:p w14:paraId="2DE2215C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1.1</w:t>
            </w:r>
          </w:p>
        </w:tc>
        <w:tc>
          <w:tcPr>
            <w:tcW w:w="0" w:type="auto"/>
            <w:hideMark/>
          </w:tcPr>
          <w:p w14:paraId="57269B9D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Plan sanitario y enfermedades de control oficial</w:t>
            </w:r>
          </w:p>
        </w:tc>
        <w:tc>
          <w:tcPr>
            <w:tcW w:w="0" w:type="auto"/>
            <w:hideMark/>
          </w:tcPr>
          <w:p w14:paraId="7F2CC407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Contar con un plan sanitario elaborado y suscrito por un Médico Veterinario o Médico Veterinario Zootecnista con matrícula profesional vigente, incluyendo acciones preventivas, listado de vacunas y el último Registro Único de Vacunación (</w:t>
            </w:r>
            <w:proofErr w:type="spellStart"/>
            <w:r w:rsidRPr="00400EA7">
              <w:t>RUV</w:t>
            </w:r>
            <w:proofErr w:type="spellEnd"/>
            <w:r w:rsidRPr="00400EA7">
              <w:t>).</w:t>
            </w:r>
          </w:p>
        </w:tc>
        <w:tc>
          <w:tcPr>
            <w:tcW w:w="0" w:type="auto"/>
            <w:hideMark/>
          </w:tcPr>
          <w:p w14:paraId="73693341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F</w:t>
            </w:r>
          </w:p>
        </w:tc>
        <w:tc>
          <w:tcPr>
            <w:tcW w:w="0" w:type="auto"/>
            <w:hideMark/>
          </w:tcPr>
          <w:p w14:paraId="25E0486A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Artículo 5. Numeral 5.1.1 Resolución 68167 de 2020</w:t>
            </w:r>
          </w:p>
        </w:tc>
      </w:tr>
      <w:tr w:rsidR="00400EA7" w:rsidRPr="00400EA7" w14:paraId="1A177E04" w14:textId="77777777" w:rsidTr="00400EA7">
        <w:tc>
          <w:tcPr>
            <w:tcW w:w="0" w:type="auto"/>
            <w:hideMark/>
          </w:tcPr>
          <w:p w14:paraId="3FDE9C98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1.2</w:t>
            </w:r>
          </w:p>
        </w:tc>
        <w:tc>
          <w:tcPr>
            <w:tcW w:w="0" w:type="auto"/>
            <w:hideMark/>
          </w:tcPr>
          <w:p w14:paraId="5A2A4F4E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 xml:space="preserve">Certificado de hato libre de </w:t>
            </w:r>
            <w:proofErr w:type="spellStart"/>
            <w:r w:rsidRPr="00400EA7">
              <w:t>brucella</w:t>
            </w:r>
            <w:proofErr w:type="spellEnd"/>
            <w:r w:rsidRPr="00400EA7">
              <w:t xml:space="preserve"> y tuberculosis</w:t>
            </w:r>
          </w:p>
        </w:tc>
        <w:tc>
          <w:tcPr>
            <w:tcW w:w="0" w:type="auto"/>
            <w:hideMark/>
          </w:tcPr>
          <w:p w14:paraId="2431463E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Contar con certificado vigente del ICA que acredite la condición de libre de brucelosis y tuberculosis.</w:t>
            </w:r>
          </w:p>
        </w:tc>
        <w:tc>
          <w:tcPr>
            <w:tcW w:w="0" w:type="auto"/>
            <w:hideMark/>
          </w:tcPr>
          <w:p w14:paraId="11608960" w14:textId="77777777" w:rsidR="00400EA7" w:rsidRPr="00400EA7" w:rsidRDefault="00400EA7" w:rsidP="00400EA7">
            <w:pPr>
              <w:spacing w:after="160" w:line="259" w:lineRule="auto"/>
            </w:pPr>
            <w:proofErr w:type="spellStart"/>
            <w:r w:rsidRPr="00400EA7">
              <w:t>My</w:t>
            </w:r>
            <w:proofErr w:type="spellEnd"/>
          </w:p>
        </w:tc>
        <w:tc>
          <w:tcPr>
            <w:tcW w:w="0" w:type="auto"/>
            <w:hideMark/>
          </w:tcPr>
          <w:p w14:paraId="3F82DAFA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Artículo 5. Numeral 5.1.2 Resolución 68167 de 2020</w:t>
            </w:r>
          </w:p>
        </w:tc>
      </w:tr>
      <w:tr w:rsidR="00400EA7" w:rsidRPr="00400EA7" w14:paraId="110E912D" w14:textId="77777777" w:rsidTr="00400EA7">
        <w:tc>
          <w:tcPr>
            <w:tcW w:w="0" w:type="auto"/>
            <w:hideMark/>
          </w:tcPr>
          <w:p w14:paraId="124A2716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1.3</w:t>
            </w:r>
          </w:p>
        </w:tc>
        <w:tc>
          <w:tcPr>
            <w:tcW w:w="0" w:type="auto"/>
            <w:hideMark/>
          </w:tcPr>
          <w:p w14:paraId="41CA4358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Protocolo de manejo y aislamiento de animales enfermos</w:t>
            </w:r>
          </w:p>
        </w:tc>
        <w:tc>
          <w:tcPr>
            <w:tcW w:w="0" w:type="auto"/>
            <w:hideMark/>
          </w:tcPr>
          <w:p w14:paraId="07866455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Tener un protocolo para la identificación y aislamiento de animales enfermos, incluyendo diferenciación temporal de los tratados.</w:t>
            </w:r>
          </w:p>
        </w:tc>
        <w:tc>
          <w:tcPr>
            <w:tcW w:w="0" w:type="auto"/>
            <w:hideMark/>
          </w:tcPr>
          <w:p w14:paraId="49C3D0CB" w14:textId="77777777" w:rsidR="00400EA7" w:rsidRPr="00400EA7" w:rsidRDefault="00400EA7" w:rsidP="00400EA7">
            <w:pPr>
              <w:spacing w:after="160" w:line="259" w:lineRule="auto"/>
            </w:pPr>
            <w:proofErr w:type="spellStart"/>
            <w:r w:rsidRPr="00400EA7">
              <w:t>My</w:t>
            </w:r>
            <w:proofErr w:type="spellEnd"/>
          </w:p>
        </w:tc>
        <w:tc>
          <w:tcPr>
            <w:tcW w:w="0" w:type="auto"/>
            <w:hideMark/>
          </w:tcPr>
          <w:p w14:paraId="782DD342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Artículo 5. Numeral 5.1.3 Resolución 68167 de 2020</w:t>
            </w:r>
          </w:p>
        </w:tc>
      </w:tr>
      <w:tr w:rsidR="00400EA7" w:rsidRPr="00400EA7" w14:paraId="63B4EF68" w14:textId="77777777" w:rsidTr="00400EA7">
        <w:tc>
          <w:tcPr>
            <w:tcW w:w="0" w:type="auto"/>
            <w:hideMark/>
          </w:tcPr>
          <w:p w14:paraId="76E42B1C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1.4</w:t>
            </w:r>
          </w:p>
        </w:tc>
        <w:tc>
          <w:tcPr>
            <w:tcW w:w="0" w:type="auto"/>
            <w:hideMark/>
          </w:tcPr>
          <w:p w14:paraId="2A56C11E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Registro de diagnósticos de enfermedades y mortalidades</w:t>
            </w:r>
          </w:p>
        </w:tc>
        <w:tc>
          <w:tcPr>
            <w:tcW w:w="0" w:type="auto"/>
            <w:hideMark/>
          </w:tcPr>
          <w:p w14:paraId="5D3B5DC2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Mantener registros con fecha del evento, identificación del animal, diagnóstico, responsable y análisis de laboratorio si aplica.</w:t>
            </w:r>
          </w:p>
        </w:tc>
        <w:tc>
          <w:tcPr>
            <w:tcW w:w="0" w:type="auto"/>
            <w:hideMark/>
          </w:tcPr>
          <w:p w14:paraId="4988CEB7" w14:textId="77777777" w:rsidR="00400EA7" w:rsidRPr="00400EA7" w:rsidRDefault="00400EA7" w:rsidP="00400EA7">
            <w:pPr>
              <w:spacing w:after="160" w:line="259" w:lineRule="auto"/>
            </w:pPr>
            <w:proofErr w:type="spellStart"/>
            <w:r w:rsidRPr="00400EA7">
              <w:t>My</w:t>
            </w:r>
            <w:proofErr w:type="spellEnd"/>
          </w:p>
        </w:tc>
        <w:tc>
          <w:tcPr>
            <w:tcW w:w="0" w:type="auto"/>
            <w:hideMark/>
          </w:tcPr>
          <w:p w14:paraId="206F2A42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Artículo 5. Numeral 5.1.4 Resolución 68167 de 2020</w:t>
            </w:r>
          </w:p>
        </w:tc>
      </w:tr>
      <w:tr w:rsidR="00400EA7" w:rsidRPr="00400EA7" w14:paraId="212E71D5" w14:textId="77777777" w:rsidTr="00400EA7">
        <w:tc>
          <w:tcPr>
            <w:tcW w:w="0" w:type="auto"/>
            <w:hideMark/>
          </w:tcPr>
          <w:p w14:paraId="2F5142EC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1.5</w:t>
            </w:r>
          </w:p>
        </w:tc>
        <w:tc>
          <w:tcPr>
            <w:tcW w:w="0" w:type="auto"/>
            <w:hideMark/>
          </w:tcPr>
          <w:p w14:paraId="5B811EEA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Instructivo de manejo sanitario sobre enfermedades de control oficial</w:t>
            </w:r>
          </w:p>
        </w:tc>
        <w:tc>
          <w:tcPr>
            <w:tcW w:w="0" w:type="auto"/>
            <w:hideMark/>
          </w:tcPr>
          <w:p w14:paraId="038BE648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Contar con un instructivo sobre manejo de enfermedades de control oficial, incluyendo cuadros clínicos y contacto del ICA, y evidenciar que el personal lo conoce.</w:t>
            </w:r>
          </w:p>
        </w:tc>
        <w:tc>
          <w:tcPr>
            <w:tcW w:w="0" w:type="auto"/>
            <w:hideMark/>
          </w:tcPr>
          <w:p w14:paraId="290E0185" w14:textId="77777777" w:rsidR="00400EA7" w:rsidRPr="00400EA7" w:rsidRDefault="00400EA7" w:rsidP="00400EA7">
            <w:pPr>
              <w:spacing w:after="160" w:line="259" w:lineRule="auto"/>
            </w:pPr>
            <w:proofErr w:type="spellStart"/>
            <w:r w:rsidRPr="00400EA7">
              <w:t>My</w:t>
            </w:r>
            <w:proofErr w:type="spellEnd"/>
          </w:p>
        </w:tc>
        <w:tc>
          <w:tcPr>
            <w:tcW w:w="0" w:type="auto"/>
            <w:hideMark/>
          </w:tcPr>
          <w:p w14:paraId="195D08FC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Artículo 5. Numeral 5.1.5 Resolución 68167 de 2020</w:t>
            </w:r>
          </w:p>
        </w:tc>
      </w:tr>
      <w:tr w:rsidR="00400EA7" w:rsidRPr="00400EA7" w14:paraId="6A059699" w14:textId="77777777" w:rsidTr="00400EA7">
        <w:tc>
          <w:tcPr>
            <w:tcW w:w="0" w:type="auto"/>
            <w:hideMark/>
          </w:tcPr>
          <w:p w14:paraId="0DD1BA65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1.6</w:t>
            </w:r>
          </w:p>
        </w:tc>
        <w:tc>
          <w:tcPr>
            <w:tcW w:w="0" w:type="auto"/>
            <w:hideMark/>
          </w:tcPr>
          <w:p w14:paraId="41E86924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Área o potrero de enfermería o tratamiento</w:t>
            </w:r>
          </w:p>
        </w:tc>
        <w:tc>
          <w:tcPr>
            <w:tcW w:w="0" w:type="auto"/>
            <w:hideMark/>
          </w:tcPr>
          <w:p w14:paraId="0C16699D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Disponer de un área identificada para animales enfermos, con registro de ocupación cuando se use para pastoreo.</w:t>
            </w:r>
          </w:p>
        </w:tc>
        <w:tc>
          <w:tcPr>
            <w:tcW w:w="0" w:type="auto"/>
            <w:hideMark/>
          </w:tcPr>
          <w:p w14:paraId="52DE7637" w14:textId="77777777" w:rsidR="00400EA7" w:rsidRPr="00400EA7" w:rsidRDefault="00400EA7" w:rsidP="00400EA7">
            <w:pPr>
              <w:spacing w:after="160" w:line="259" w:lineRule="auto"/>
            </w:pPr>
            <w:proofErr w:type="spellStart"/>
            <w:r w:rsidRPr="00400EA7">
              <w:t>My</w:t>
            </w:r>
            <w:proofErr w:type="spellEnd"/>
          </w:p>
        </w:tc>
        <w:tc>
          <w:tcPr>
            <w:tcW w:w="0" w:type="auto"/>
            <w:hideMark/>
          </w:tcPr>
          <w:p w14:paraId="3B69EF14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Artículo 5. Numeral 5.1.5.3 Resolución 68167 de 2020</w:t>
            </w:r>
          </w:p>
        </w:tc>
      </w:tr>
    </w:tbl>
    <w:p w14:paraId="736F5E98" w14:textId="2533F745" w:rsidR="00400EA7" w:rsidRPr="00400EA7" w:rsidRDefault="00400EA7" w:rsidP="00400EA7"/>
    <w:p w14:paraId="128CE675" w14:textId="3A8EE6FA" w:rsidR="00400EA7" w:rsidRPr="00400EA7" w:rsidRDefault="0024477A" w:rsidP="00400EA7">
      <w:pPr>
        <w:rPr>
          <w:b/>
          <w:bCs/>
        </w:rPr>
      </w:pPr>
      <w:r>
        <w:rPr>
          <w:b/>
          <w:bCs/>
        </w:rPr>
        <w:lastRenderedPageBreak/>
        <w:t xml:space="preserve">Tabla 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 xml:space="preserve"> </w:t>
      </w:r>
      <w:r w:rsidR="00400EA7" w:rsidRPr="00400EA7">
        <w:rPr>
          <w:b/>
          <w:bCs/>
        </w:rPr>
        <w:t>Identificación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32"/>
        <w:gridCol w:w="3236"/>
        <w:gridCol w:w="1158"/>
        <w:gridCol w:w="2064"/>
      </w:tblGrid>
      <w:tr w:rsidR="00400EA7" w:rsidRPr="00400EA7" w14:paraId="3FDCAF3E" w14:textId="77777777" w:rsidTr="00400EA7">
        <w:tc>
          <w:tcPr>
            <w:tcW w:w="0" w:type="auto"/>
            <w:hideMark/>
          </w:tcPr>
          <w:p w14:paraId="4271C615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No.</w:t>
            </w:r>
          </w:p>
        </w:tc>
        <w:tc>
          <w:tcPr>
            <w:tcW w:w="0" w:type="auto"/>
            <w:hideMark/>
          </w:tcPr>
          <w:p w14:paraId="21C8FA95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PUNTOS DE CONTROL</w:t>
            </w:r>
          </w:p>
        </w:tc>
        <w:tc>
          <w:tcPr>
            <w:tcW w:w="0" w:type="auto"/>
            <w:hideMark/>
          </w:tcPr>
          <w:p w14:paraId="3641EFA2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CRITERIOS DE CUMPLIMIENTO</w:t>
            </w:r>
          </w:p>
        </w:tc>
        <w:tc>
          <w:tcPr>
            <w:tcW w:w="0" w:type="auto"/>
            <w:hideMark/>
          </w:tcPr>
          <w:p w14:paraId="1A92FAF6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TIPO CRITERIO</w:t>
            </w:r>
          </w:p>
        </w:tc>
        <w:tc>
          <w:tcPr>
            <w:tcW w:w="0" w:type="auto"/>
            <w:hideMark/>
          </w:tcPr>
          <w:p w14:paraId="13B2726E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REFERENTE NORMATIVO</w:t>
            </w:r>
          </w:p>
        </w:tc>
      </w:tr>
      <w:tr w:rsidR="00400EA7" w:rsidRPr="00400EA7" w14:paraId="04CF7135" w14:textId="77777777" w:rsidTr="00400EA7">
        <w:tc>
          <w:tcPr>
            <w:tcW w:w="0" w:type="auto"/>
            <w:hideMark/>
          </w:tcPr>
          <w:p w14:paraId="103BA9BB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2.1</w:t>
            </w:r>
          </w:p>
        </w:tc>
        <w:tc>
          <w:tcPr>
            <w:tcW w:w="0" w:type="auto"/>
            <w:hideMark/>
          </w:tcPr>
          <w:p w14:paraId="5BEB13FE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Identificación de los animales</w:t>
            </w:r>
          </w:p>
        </w:tc>
        <w:tc>
          <w:tcPr>
            <w:tcW w:w="0" w:type="auto"/>
            <w:hideMark/>
          </w:tcPr>
          <w:p w14:paraId="646AE5CA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Los animales deben tener una identificación única e irrepetible, cumpliendo con la normatividad vigente.</w:t>
            </w:r>
          </w:p>
        </w:tc>
        <w:tc>
          <w:tcPr>
            <w:tcW w:w="0" w:type="auto"/>
            <w:hideMark/>
          </w:tcPr>
          <w:p w14:paraId="73FE7383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F</w:t>
            </w:r>
          </w:p>
        </w:tc>
        <w:tc>
          <w:tcPr>
            <w:tcW w:w="0" w:type="auto"/>
            <w:hideMark/>
          </w:tcPr>
          <w:p w14:paraId="03A24F78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Artículo 5. Numeral 5.2.1 Resolución 68167 de 2020</w:t>
            </w:r>
          </w:p>
        </w:tc>
      </w:tr>
      <w:tr w:rsidR="00400EA7" w:rsidRPr="00400EA7" w14:paraId="0D7BDB35" w14:textId="77777777" w:rsidTr="00400EA7">
        <w:tc>
          <w:tcPr>
            <w:tcW w:w="0" w:type="auto"/>
            <w:hideMark/>
          </w:tcPr>
          <w:p w14:paraId="2536C417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2.2</w:t>
            </w:r>
          </w:p>
        </w:tc>
        <w:tc>
          <w:tcPr>
            <w:tcW w:w="0" w:type="auto"/>
            <w:hideMark/>
          </w:tcPr>
          <w:p w14:paraId="410D64EC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Registro o ficha individual o por lotes</w:t>
            </w:r>
          </w:p>
        </w:tc>
        <w:tc>
          <w:tcPr>
            <w:tcW w:w="0" w:type="auto"/>
            <w:hideMark/>
          </w:tcPr>
          <w:p w14:paraId="39E57EE9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Contar con registros que incluyan tratamientos, procedimientos y actividades de manejo.</w:t>
            </w:r>
          </w:p>
        </w:tc>
        <w:tc>
          <w:tcPr>
            <w:tcW w:w="0" w:type="auto"/>
            <w:hideMark/>
          </w:tcPr>
          <w:p w14:paraId="34428DEE" w14:textId="77777777" w:rsidR="00400EA7" w:rsidRPr="00400EA7" w:rsidRDefault="00400EA7" w:rsidP="00400EA7">
            <w:pPr>
              <w:spacing w:after="160" w:line="259" w:lineRule="auto"/>
            </w:pPr>
            <w:proofErr w:type="spellStart"/>
            <w:r w:rsidRPr="00400EA7">
              <w:t>My</w:t>
            </w:r>
            <w:proofErr w:type="spellEnd"/>
          </w:p>
        </w:tc>
        <w:tc>
          <w:tcPr>
            <w:tcW w:w="0" w:type="auto"/>
            <w:hideMark/>
          </w:tcPr>
          <w:p w14:paraId="784BC2C4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Artículo 5. Numeral 5.2.2 Resolución 68167 de 2020</w:t>
            </w:r>
          </w:p>
        </w:tc>
      </w:tr>
    </w:tbl>
    <w:p w14:paraId="6395396C" w14:textId="4BA8C901" w:rsidR="00400EA7" w:rsidRPr="00400EA7" w:rsidRDefault="00400EA7" w:rsidP="00400EA7"/>
    <w:p w14:paraId="6EC8D4C6" w14:textId="3940D571" w:rsidR="00400EA7" w:rsidRPr="00400EA7" w:rsidRDefault="0024477A" w:rsidP="00400EA7">
      <w:pPr>
        <w:rPr>
          <w:b/>
          <w:bCs/>
        </w:rPr>
      </w:pPr>
      <w:r>
        <w:rPr>
          <w:b/>
          <w:bCs/>
        </w:rPr>
        <w:t xml:space="preserve">Tabla 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 w:rsidR="00400EA7" w:rsidRPr="00400EA7">
        <w:rPr>
          <w:b/>
          <w:bCs/>
        </w:rPr>
        <w:t>Bioseguridad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91"/>
        <w:gridCol w:w="3256"/>
        <w:gridCol w:w="1148"/>
        <w:gridCol w:w="1995"/>
      </w:tblGrid>
      <w:tr w:rsidR="00400EA7" w:rsidRPr="00400EA7" w14:paraId="2FEC4E46" w14:textId="77777777" w:rsidTr="00400EA7">
        <w:tc>
          <w:tcPr>
            <w:tcW w:w="0" w:type="auto"/>
            <w:hideMark/>
          </w:tcPr>
          <w:p w14:paraId="2997A964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No.</w:t>
            </w:r>
          </w:p>
        </w:tc>
        <w:tc>
          <w:tcPr>
            <w:tcW w:w="0" w:type="auto"/>
            <w:hideMark/>
          </w:tcPr>
          <w:p w14:paraId="3A4A25BD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PUNTOS DE CONTROL</w:t>
            </w:r>
          </w:p>
        </w:tc>
        <w:tc>
          <w:tcPr>
            <w:tcW w:w="0" w:type="auto"/>
            <w:hideMark/>
          </w:tcPr>
          <w:p w14:paraId="49969748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CRITERIOS DE CUMPLIMIENTO</w:t>
            </w:r>
          </w:p>
        </w:tc>
        <w:tc>
          <w:tcPr>
            <w:tcW w:w="0" w:type="auto"/>
            <w:hideMark/>
          </w:tcPr>
          <w:p w14:paraId="313673E8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TIPO CRITERIO</w:t>
            </w:r>
          </w:p>
        </w:tc>
        <w:tc>
          <w:tcPr>
            <w:tcW w:w="0" w:type="auto"/>
            <w:hideMark/>
          </w:tcPr>
          <w:p w14:paraId="11096174" w14:textId="77777777" w:rsidR="00400EA7" w:rsidRPr="00400EA7" w:rsidRDefault="00400EA7" w:rsidP="00400EA7">
            <w:pPr>
              <w:spacing w:after="160" w:line="259" w:lineRule="auto"/>
              <w:rPr>
                <w:b/>
                <w:bCs/>
              </w:rPr>
            </w:pPr>
            <w:r w:rsidRPr="00400EA7">
              <w:rPr>
                <w:b/>
                <w:bCs/>
              </w:rPr>
              <w:t>REFERENTE NORMATIVO</w:t>
            </w:r>
          </w:p>
        </w:tc>
      </w:tr>
      <w:tr w:rsidR="00400EA7" w:rsidRPr="00400EA7" w14:paraId="4E69F0B7" w14:textId="77777777" w:rsidTr="00400EA7">
        <w:tc>
          <w:tcPr>
            <w:tcW w:w="0" w:type="auto"/>
            <w:hideMark/>
          </w:tcPr>
          <w:p w14:paraId="17839093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3.1</w:t>
            </w:r>
          </w:p>
        </w:tc>
        <w:tc>
          <w:tcPr>
            <w:tcW w:w="0" w:type="auto"/>
            <w:hideMark/>
          </w:tcPr>
          <w:p w14:paraId="2D4E1346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Delimitación del predio</w:t>
            </w:r>
          </w:p>
        </w:tc>
        <w:tc>
          <w:tcPr>
            <w:tcW w:w="0" w:type="auto"/>
            <w:hideMark/>
          </w:tcPr>
          <w:p w14:paraId="27461CED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Disponer de cercos, broches y otros mecanismos para evitar el ingreso de animales, personas y vehículos ajenos.</w:t>
            </w:r>
          </w:p>
        </w:tc>
        <w:tc>
          <w:tcPr>
            <w:tcW w:w="0" w:type="auto"/>
            <w:hideMark/>
          </w:tcPr>
          <w:p w14:paraId="47D0884A" w14:textId="77777777" w:rsidR="00400EA7" w:rsidRPr="00400EA7" w:rsidRDefault="00400EA7" w:rsidP="00400EA7">
            <w:pPr>
              <w:spacing w:after="160" w:line="259" w:lineRule="auto"/>
            </w:pPr>
            <w:proofErr w:type="spellStart"/>
            <w:r w:rsidRPr="00400EA7">
              <w:t>My</w:t>
            </w:r>
            <w:proofErr w:type="spellEnd"/>
          </w:p>
        </w:tc>
        <w:tc>
          <w:tcPr>
            <w:tcW w:w="0" w:type="auto"/>
            <w:hideMark/>
          </w:tcPr>
          <w:p w14:paraId="260950B5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Artículo 5. Numeral 5.3.1 Resolución 68167 de 2020</w:t>
            </w:r>
          </w:p>
        </w:tc>
      </w:tr>
      <w:tr w:rsidR="00400EA7" w:rsidRPr="00400EA7" w14:paraId="790B24C1" w14:textId="77777777" w:rsidTr="00400EA7">
        <w:tc>
          <w:tcPr>
            <w:tcW w:w="0" w:type="auto"/>
            <w:hideMark/>
          </w:tcPr>
          <w:p w14:paraId="514488D3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3.2</w:t>
            </w:r>
          </w:p>
        </w:tc>
        <w:tc>
          <w:tcPr>
            <w:tcW w:w="0" w:type="auto"/>
            <w:hideMark/>
          </w:tcPr>
          <w:p w14:paraId="4D41F984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Registro de ingreso de personas y vehículos</w:t>
            </w:r>
          </w:p>
        </w:tc>
        <w:tc>
          <w:tcPr>
            <w:tcW w:w="0" w:type="auto"/>
            <w:hideMark/>
          </w:tcPr>
          <w:p w14:paraId="770E283F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Llevar registro de visitantes y vehículos con datos básicos y motivo de ingreso.</w:t>
            </w:r>
          </w:p>
        </w:tc>
        <w:tc>
          <w:tcPr>
            <w:tcW w:w="0" w:type="auto"/>
            <w:hideMark/>
          </w:tcPr>
          <w:p w14:paraId="752AFD48" w14:textId="77777777" w:rsidR="00400EA7" w:rsidRPr="00400EA7" w:rsidRDefault="00400EA7" w:rsidP="00400EA7">
            <w:pPr>
              <w:spacing w:after="160" w:line="259" w:lineRule="auto"/>
            </w:pPr>
            <w:proofErr w:type="spellStart"/>
            <w:r w:rsidRPr="00400EA7">
              <w:t>My</w:t>
            </w:r>
            <w:proofErr w:type="spellEnd"/>
          </w:p>
        </w:tc>
        <w:tc>
          <w:tcPr>
            <w:tcW w:w="0" w:type="auto"/>
            <w:hideMark/>
          </w:tcPr>
          <w:p w14:paraId="0D43B1DD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Artículo 5. Numeral 5.3.2 Resolución 68167 de 2020</w:t>
            </w:r>
          </w:p>
        </w:tc>
      </w:tr>
      <w:tr w:rsidR="00400EA7" w:rsidRPr="00400EA7" w14:paraId="69F43461" w14:textId="77777777" w:rsidTr="00400EA7">
        <w:tc>
          <w:tcPr>
            <w:tcW w:w="0" w:type="auto"/>
            <w:hideMark/>
          </w:tcPr>
          <w:p w14:paraId="3B8DE62B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3.3</w:t>
            </w:r>
          </w:p>
        </w:tc>
        <w:tc>
          <w:tcPr>
            <w:tcW w:w="0" w:type="auto"/>
            <w:hideMark/>
          </w:tcPr>
          <w:p w14:paraId="4DC3C262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Cuarentena</w:t>
            </w:r>
          </w:p>
        </w:tc>
        <w:tc>
          <w:tcPr>
            <w:tcW w:w="0" w:type="auto"/>
            <w:hideMark/>
          </w:tcPr>
          <w:p w14:paraId="6A04FD5F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Contar con un procedimiento de aislamiento de animales con un mínimo de 21 días y un área identificada.</w:t>
            </w:r>
          </w:p>
        </w:tc>
        <w:tc>
          <w:tcPr>
            <w:tcW w:w="0" w:type="auto"/>
            <w:hideMark/>
          </w:tcPr>
          <w:p w14:paraId="5C790232" w14:textId="77777777" w:rsidR="00400EA7" w:rsidRPr="00400EA7" w:rsidRDefault="00400EA7" w:rsidP="00400EA7">
            <w:pPr>
              <w:spacing w:after="160" w:line="259" w:lineRule="auto"/>
            </w:pPr>
            <w:proofErr w:type="spellStart"/>
            <w:r w:rsidRPr="00400EA7">
              <w:t>My</w:t>
            </w:r>
            <w:proofErr w:type="spellEnd"/>
          </w:p>
        </w:tc>
        <w:tc>
          <w:tcPr>
            <w:tcW w:w="0" w:type="auto"/>
            <w:hideMark/>
          </w:tcPr>
          <w:p w14:paraId="29562C74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Artículo 5. Numeral 5.3.3 Resolución 68167 de 2020</w:t>
            </w:r>
          </w:p>
        </w:tc>
      </w:tr>
      <w:tr w:rsidR="00400EA7" w:rsidRPr="00400EA7" w14:paraId="77AE4836" w14:textId="77777777" w:rsidTr="00400EA7">
        <w:tc>
          <w:tcPr>
            <w:tcW w:w="0" w:type="auto"/>
            <w:hideMark/>
          </w:tcPr>
          <w:p w14:paraId="588A7010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3.4</w:t>
            </w:r>
          </w:p>
        </w:tc>
        <w:tc>
          <w:tcPr>
            <w:tcW w:w="0" w:type="auto"/>
            <w:hideMark/>
          </w:tcPr>
          <w:p w14:paraId="51F9F532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Protocolo de ingreso del material genético</w:t>
            </w:r>
          </w:p>
        </w:tc>
        <w:tc>
          <w:tcPr>
            <w:tcW w:w="0" w:type="auto"/>
            <w:hideMark/>
          </w:tcPr>
          <w:p w14:paraId="7D4061C4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El material genético debe provenir de centros autorizados por el ICA.</w:t>
            </w:r>
          </w:p>
        </w:tc>
        <w:tc>
          <w:tcPr>
            <w:tcW w:w="0" w:type="auto"/>
            <w:hideMark/>
          </w:tcPr>
          <w:p w14:paraId="29F39DE8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Mn</w:t>
            </w:r>
          </w:p>
        </w:tc>
        <w:tc>
          <w:tcPr>
            <w:tcW w:w="0" w:type="auto"/>
            <w:hideMark/>
          </w:tcPr>
          <w:p w14:paraId="01FD90F2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Artículo 5. Numeral 5.3.4 Resolución 68167 de 2020</w:t>
            </w:r>
          </w:p>
        </w:tc>
      </w:tr>
      <w:tr w:rsidR="00400EA7" w:rsidRPr="00400EA7" w14:paraId="6B26833C" w14:textId="77777777" w:rsidTr="00400EA7">
        <w:tc>
          <w:tcPr>
            <w:tcW w:w="0" w:type="auto"/>
            <w:hideMark/>
          </w:tcPr>
          <w:p w14:paraId="74153794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3.5</w:t>
            </w:r>
          </w:p>
        </w:tc>
        <w:tc>
          <w:tcPr>
            <w:tcW w:w="0" w:type="auto"/>
            <w:hideMark/>
          </w:tcPr>
          <w:p w14:paraId="6D021230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Identificación de áreas</w:t>
            </w:r>
          </w:p>
        </w:tc>
        <w:tc>
          <w:tcPr>
            <w:tcW w:w="0" w:type="auto"/>
            <w:hideMark/>
          </w:tcPr>
          <w:p w14:paraId="0380AB29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Cada área productiva debe estar señalizada, incluyendo bodegas, clasificación de basuras y zonas de manejo animal.</w:t>
            </w:r>
          </w:p>
        </w:tc>
        <w:tc>
          <w:tcPr>
            <w:tcW w:w="0" w:type="auto"/>
            <w:hideMark/>
          </w:tcPr>
          <w:p w14:paraId="7A32F0C6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Mn</w:t>
            </w:r>
          </w:p>
        </w:tc>
        <w:tc>
          <w:tcPr>
            <w:tcW w:w="0" w:type="auto"/>
            <w:hideMark/>
          </w:tcPr>
          <w:p w14:paraId="0F4BD491" w14:textId="77777777" w:rsidR="00400EA7" w:rsidRPr="00400EA7" w:rsidRDefault="00400EA7" w:rsidP="00400EA7">
            <w:pPr>
              <w:spacing w:after="160" w:line="259" w:lineRule="auto"/>
            </w:pPr>
            <w:r w:rsidRPr="00400EA7">
              <w:t>Artículo 5. Numeral 5.3.5 Resolución 68167 de 2020</w:t>
            </w:r>
          </w:p>
        </w:tc>
      </w:tr>
    </w:tbl>
    <w:p w14:paraId="03710E8C" w14:textId="77777777" w:rsidR="00400EA7" w:rsidRPr="00400EA7" w:rsidRDefault="00400EA7" w:rsidP="00400EA7">
      <w:pPr>
        <w:rPr>
          <w:lang w:val="es-CO"/>
        </w:rPr>
      </w:pPr>
    </w:p>
    <w:sectPr w:rsidR="00400EA7" w:rsidRPr="00400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0D"/>
    <w:rsid w:val="00024A7B"/>
    <w:rsid w:val="000410CE"/>
    <w:rsid w:val="0010740D"/>
    <w:rsid w:val="001C011A"/>
    <w:rsid w:val="0024477A"/>
    <w:rsid w:val="00252AF9"/>
    <w:rsid w:val="002827A0"/>
    <w:rsid w:val="00304E41"/>
    <w:rsid w:val="00390742"/>
    <w:rsid w:val="00400EA7"/>
    <w:rsid w:val="005319F5"/>
    <w:rsid w:val="0067522A"/>
    <w:rsid w:val="006E7785"/>
    <w:rsid w:val="006F2427"/>
    <w:rsid w:val="00754548"/>
    <w:rsid w:val="00931D77"/>
    <w:rsid w:val="00BD28EB"/>
    <w:rsid w:val="00D27F96"/>
    <w:rsid w:val="00D66F87"/>
    <w:rsid w:val="00DB732F"/>
    <w:rsid w:val="00DF6394"/>
    <w:rsid w:val="00E6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1B62"/>
  <w15:chartTrackingRefBased/>
  <w15:docId w15:val="{C2D156AC-1C8D-46F8-8193-5FDC54DD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40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4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40D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40D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40D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40D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40D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40D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40D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107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40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40D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107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40D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107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40D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1074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0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1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2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4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65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1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4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1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6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7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1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7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8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6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6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8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33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24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75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75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0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81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0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1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7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3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96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88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5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03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6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9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8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6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8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0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0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77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5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3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8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0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4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7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50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3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6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1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83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9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9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2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0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8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3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E1E7C1-E1E8-4CE8-A82A-B4948F6F18E3}"/>
</file>

<file path=customXml/itemProps2.xml><?xml version="1.0" encoding="utf-8"?>
<ds:datastoreItem xmlns:ds="http://schemas.openxmlformats.org/officeDocument/2006/customXml" ds:itemID="{20CF2DA7-8C51-44FA-A0A6-F8E271A238EA}"/>
</file>

<file path=customXml/itemProps3.xml><?xml version="1.0" encoding="utf-8"?>
<ds:datastoreItem xmlns:ds="http://schemas.openxmlformats.org/officeDocument/2006/customXml" ds:itemID="{CB45492F-03FD-4707-957B-8AD7F89F20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1</cp:revision>
  <dcterms:created xsi:type="dcterms:W3CDTF">2025-03-15T18:56:00Z</dcterms:created>
  <dcterms:modified xsi:type="dcterms:W3CDTF">2025-03-15T19:07:00Z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