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p w14:paraId="43C5D7DB" w14:textId="77777777" w:rsidR="009D2E85" w:rsidRDefault="009D2E85">
      <w:pPr>
        <w:spacing w:line="240" w:lineRule="auto"/>
        <w:rPr>
          <w:b/>
        </w:rPr>
      </w:pPr>
    </w:p>
    <w:p w14:paraId="6FA4DA0E" w14:textId="77777777" w:rsidR="009D2E85" w:rsidRDefault="009D2E85">
      <w:pPr>
        <w:spacing w:line="240" w:lineRule="auto"/>
        <w:rPr>
          <w:b/>
        </w:rPr>
      </w:pPr>
    </w:p>
    <w:p w14:paraId="327649B2" w14:textId="77777777" w:rsidR="00C02521" w:rsidRPr="00C02521" w:rsidRDefault="00C02521" w:rsidP="00C02521">
      <w:pPr>
        <w:spacing w:line="240" w:lineRule="auto"/>
        <w:rPr>
          <w:b/>
          <w:lang w:val="es-CO"/>
        </w:rPr>
      </w:pPr>
      <w:r w:rsidRPr="00C02521">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00E74FB9">
        <w:trPr>
          <w:trHeight w:val="435"/>
        </w:trPr>
        <w:tc>
          <w:tcPr>
            <w:tcW w:w="2460"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hideMark/>
          </w:tcPr>
          <w:p w14:paraId="7EF60668" w14:textId="77777777" w:rsidR="00C02521" w:rsidRPr="00C02521" w:rsidRDefault="00C02521" w:rsidP="00C02521">
            <w:pPr>
              <w:spacing w:line="240" w:lineRule="auto"/>
              <w:rPr>
                <w:b/>
                <w:lang w:val="es-CO"/>
              </w:rPr>
            </w:pPr>
            <w:r w:rsidRPr="00C02521">
              <w:rPr>
                <w:b/>
                <w:bCs/>
              </w:rPr>
              <w:t>Título componente</w:t>
            </w:r>
            <w:r w:rsidRPr="00C02521">
              <w:rPr>
                <w:b/>
                <w:lang w:val="es-CO"/>
              </w:rPr>
              <w:t> </w:t>
            </w:r>
          </w:p>
        </w:tc>
        <w:tc>
          <w:tcPr>
            <w:tcW w:w="11924"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hideMark/>
          </w:tcPr>
          <w:p w14:paraId="3F60AE54" w14:textId="77777777" w:rsidR="00C02521" w:rsidRPr="00C02521" w:rsidRDefault="00C02521" w:rsidP="00C02521">
            <w:pPr>
              <w:spacing w:line="240" w:lineRule="auto"/>
              <w:rPr>
                <w:b/>
                <w:lang w:val="es-CO"/>
              </w:rPr>
            </w:pPr>
            <w:r w:rsidRPr="00C02521">
              <w:rPr>
                <w:b/>
                <w:bCs/>
              </w:rPr>
              <w:t>Pódcast</w:t>
            </w:r>
            <w:r w:rsidRPr="00C02521">
              <w:rPr>
                <w:b/>
                <w:lang w:val="es-CO"/>
              </w:rPr>
              <w:t> </w:t>
            </w:r>
          </w:p>
        </w:tc>
      </w:tr>
      <w:tr w:rsidR="00E74FB9" w:rsidRPr="00C02521" w14:paraId="75B9F1F0" w14:textId="77777777" w:rsidTr="00E74FB9">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0EA1B15B" w14:textId="77777777" w:rsidR="00E74FB9" w:rsidRDefault="00E74FB9" w:rsidP="00E74FB9">
            <w:pPr>
              <w:spacing w:line="240" w:lineRule="auto"/>
              <w:rPr>
                <w:b/>
                <w:bCs/>
              </w:rPr>
            </w:pPr>
            <w:r w:rsidRPr="00C02521">
              <w:rPr>
                <w:b/>
                <w:bCs/>
              </w:rPr>
              <w:t xml:space="preserve">Título del </w:t>
            </w:r>
            <w:r>
              <w:rPr>
                <w:b/>
                <w:bCs/>
              </w:rPr>
              <w:t xml:space="preserve">pódcast </w:t>
            </w:r>
          </w:p>
          <w:p w14:paraId="310BAF13" w14:textId="4A461E7B" w:rsidR="00E74FB9" w:rsidRPr="00C02521" w:rsidRDefault="00E74FB9" w:rsidP="00E74FB9">
            <w:pPr>
              <w:spacing w:line="240" w:lineRule="auto"/>
              <w:rPr>
                <w:b/>
                <w:lang w:val="es-CO"/>
              </w:rPr>
            </w:pPr>
            <w:r>
              <w:rPr>
                <w:b/>
                <w:lang w:val="es-CO"/>
              </w:rPr>
              <w:t>Se locuta</w:t>
            </w:r>
          </w:p>
        </w:tc>
        <w:tc>
          <w:tcPr>
            <w:tcW w:w="11924" w:type="dxa"/>
            <w:tcBorders>
              <w:top w:val="single" w:sz="6" w:space="0" w:color="000000"/>
              <w:left w:val="single" w:sz="6" w:space="0" w:color="000000"/>
              <w:bottom w:val="single" w:sz="6" w:space="0" w:color="000000"/>
              <w:right w:val="single" w:sz="6" w:space="0" w:color="000000"/>
            </w:tcBorders>
          </w:tcPr>
          <w:p w14:paraId="284838DB" w14:textId="0DD220AA" w:rsidR="00E74FB9" w:rsidRPr="00E74FB9" w:rsidRDefault="00E74FB9" w:rsidP="00E74FB9">
            <w:pPr>
              <w:spacing w:line="240" w:lineRule="auto"/>
              <w:rPr>
                <w:lang w:val="es-CO"/>
              </w:rPr>
            </w:pPr>
            <w:r w:rsidRPr="00E74FB9">
              <w:rPr>
                <w:rFonts w:eastAsia="Aptos"/>
                <w:b/>
                <w:bCs/>
                <w:color w:val="000000" w:themeColor="text1"/>
                <w:kern w:val="2"/>
                <w:sz w:val="20"/>
                <w:szCs w:val="20"/>
                <w14:ligatures w14:val="standardContextual"/>
              </w:rPr>
              <w:t>Características principales de una encuesta</w:t>
            </w:r>
          </w:p>
        </w:tc>
      </w:tr>
      <w:tr w:rsidR="00E74FB9" w:rsidRPr="00C02521" w14:paraId="0A16DD4C" w14:textId="77777777" w:rsidTr="00E74FB9">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79836FDB" w14:textId="77777777" w:rsidR="00E74FB9" w:rsidRPr="00C02521" w:rsidRDefault="00E74FB9" w:rsidP="00E74FB9">
            <w:pPr>
              <w:spacing w:line="240" w:lineRule="auto"/>
              <w:rPr>
                <w:b/>
                <w:lang w:val="es-CO"/>
              </w:rPr>
            </w:pPr>
            <w:r w:rsidRPr="00C02521">
              <w:rPr>
                <w:b/>
                <w:bCs/>
              </w:rPr>
              <w:t>Texto descriptivo</w:t>
            </w:r>
            <w:r w:rsidRPr="00C02521">
              <w:rPr>
                <w:b/>
                <w:lang w:val="es-CO"/>
              </w:rPr>
              <w:t> </w:t>
            </w:r>
          </w:p>
        </w:tc>
        <w:tc>
          <w:tcPr>
            <w:tcW w:w="11924" w:type="dxa"/>
            <w:tcBorders>
              <w:top w:val="single" w:sz="6" w:space="0" w:color="000000"/>
              <w:left w:val="single" w:sz="6" w:space="0" w:color="000000"/>
              <w:bottom w:val="single" w:sz="6" w:space="0" w:color="000000"/>
              <w:right w:val="single" w:sz="6" w:space="0" w:color="000000"/>
            </w:tcBorders>
          </w:tcPr>
          <w:p w14:paraId="42672583" w14:textId="513BD360" w:rsidR="00E74FB9" w:rsidRPr="00E74FB9" w:rsidRDefault="00E74FB9" w:rsidP="00E74FB9">
            <w:pPr>
              <w:spacing w:line="240" w:lineRule="auto"/>
              <w:rPr>
                <w:lang w:val="es-CO"/>
              </w:rPr>
            </w:pPr>
            <w:r w:rsidRPr="00E74FB9">
              <w:rPr>
                <w:rFonts w:eastAsia="Aptos"/>
                <w:kern w:val="2"/>
                <w:sz w:val="20"/>
                <w:szCs w:val="20"/>
                <w14:ligatures w14:val="standardContextual"/>
              </w:rPr>
              <w:t>A continuación, se presenta un pódcast que expone las características fundamentales de una encuesta, subrayando su utilidad en procesos de diagnóstico y toma de decisiones dentro de comunidades rurales.</w:t>
            </w:r>
          </w:p>
        </w:tc>
      </w:tr>
      <w:tr w:rsidR="00C02521" w:rsidRPr="00C02521" w14:paraId="5DC880CA" w14:textId="77777777" w:rsidTr="00E74FB9">
        <w:trPr>
          <w:trHeight w:val="405"/>
        </w:trPr>
        <w:tc>
          <w:tcPr>
            <w:tcW w:w="2460" w:type="dxa"/>
            <w:tcBorders>
              <w:top w:val="single" w:sz="6" w:space="0" w:color="000000"/>
              <w:left w:val="single" w:sz="6" w:space="0" w:color="000000"/>
              <w:bottom w:val="single" w:sz="6" w:space="0" w:color="000000"/>
              <w:right w:val="single" w:sz="6" w:space="0" w:color="000000"/>
            </w:tcBorders>
            <w:shd w:val="clear" w:color="auto" w:fill="EFEFEF"/>
            <w:hideMark/>
          </w:tcPr>
          <w:p w14:paraId="2A3463C2" w14:textId="77777777" w:rsidR="00C02521" w:rsidRPr="00C02521" w:rsidRDefault="00C02521" w:rsidP="00C02521">
            <w:pPr>
              <w:spacing w:line="240" w:lineRule="auto"/>
              <w:rPr>
                <w:b/>
                <w:lang w:val="es-CO"/>
              </w:rPr>
            </w:pPr>
            <w:r w:rsidRPr="00C02521">
              <w:rPr>
                <w:b/>
                <w:bCs/>
              </w:rPr>
              <w:t>Escena</w:t>
            </w:r>
            <w:r w:rsidRPr="00C02521">
              <w:rPr>
                <w:b/>
                <w:lang w:val="es-CO"/>
              </w:rPr>
              <w:t> </w:t>
            </w:r>
          </w:p>
        </w:tc>
        <w:tc>
          <w:tcPr>
            <w:tcW w:w="11924" w:type="dxa"/>
            <w:tcBorders>
              <w:top w:val="single" w:sz="6" w:space="0" w:color="000000"/>
              <w:left w:val="single" w:sz="6" w:space="0" w:color="000000"/>
              <w:bottom w:val="single" w:sz="6" w:space="0" w:color="000000"/>
              <w:right w:val="single" w:sz="6" w:space="0" w:color="000000"/>
            </w:tcBorders>
            <w:shd w:val="clear" w:color="auto" w:fill="EFEFEF"/>
            <w:vAlign w:val="center"/>
            <w:hideMark/>
          </w:tcPr>
          <w:p w14:paraId="36E3D754" w14:textId="77777777" w:rsidR="00C02521" w:rsidRPr="00C02521" w:rsidRDefault="00C02521" w:rsidP="00C02521">
            <w:pPr>
              <w:spacing w:line="240" w:lineRule="auto"/>
              <w:rPr>
                <w:b/>
                <w:lang w:val="es-CO"/>
              </w:rPr>
            </w:pPr>
            <w:r w:rsidRPr="00C02521">
              <w:rPr>
                <w:b/>
                <w:bCs/>
              </w:rPr>
              <w:t>Narración (voz en off)</w:t>
            </w:r>
            <w:r w:rsidRPr="00C02521">
              <w:rPr>
                <w:b/>
                <w:lang w:val="es-CO"/>
              </w:rPr>
              <w:t> </w:t>
            </w:r>
          </w:p>
        </w:tc>
      </w:tr>
      <w:tr w:rsidR="00C02521" w:rsidRPr="00C02521" w14:paraId="208B7FFC" w14:textId="77777777" w:rsidTr="00E74FB9">
        <w:trPr>
          <w:trHeight w:val="2070"/>
        </w:trPr>
        <w:tc>
          <w:tcPr>
            <w:tcW w:w="2460" w:type="dxa"/>
            <w:tcBorders>
              <w:top w:val="single" w:sz="6" w:space="0" w:color="000000"/>
              <w:left w:val="single" w:sz="6" w:space="0" w:color="000000"/>
              <w:bottom w:val="single" w:sz="6" w:space="0" w:color="000000"/>
              <w:right w:val="single" w:sz="6" w:space="0" w:color="000000"/>
            </w:tcBorders>
            <w:hideMark/>
          </w:tcPr>
          <w:p w14:paraId="7001A5F6" w14:textId="7F0C2A8C" w:rsidR="00C02521" w:rsidRPr="00C02521" w:rsidRDefault="00C02521" w:rsidP="00C02521">
            <w:pPr>
              <w:spacing w:line="240" w:lineRule="auto"/>
              <w:rPr>
                <w:lang w:val="es-CO"/>
              </w:rPr>
            </w:pPr>
          </w:p>
        </w:tc>
        <w:tc>
          <w:tcPr>
            <w:tcW w:w="11924" w:type="dxa"/>
            <w:tcBorders>
              <w:top w:val="single" w:sz="6" w:space="0" w:color="000000"/>
              <w:left w:val="single" w:sz="6" w:space="0" w:color="000000"/>
              <w:bottom w:val="single" w:sz="6" w:space="0" w:color="000000"/>
              <w:right w:val="single" w:sz="6" w:space="0" w:color="000000"/>
            </w:tcBorders>
            <w:hideMark/>
          </w:tcPr>
          <w:p w14:paraId="7F6EBAA9" w14:textId="77777777" w:rsidR="00E74FB9" w:rsidRPr="00E74FB9" w:rsidRDefault="00E74FB9" w:rsidP="00E74FB9">
            <w:pPr>
              <w:spacing w:before="240" w:line="240" w:lineRule="auto"/>
            </w:pPr>
            <w:r w:rsidRPr="00E74FB9">
              <w:t>Las encuestas constituyen una herramienta fundamental en la recolección de información social, especialmente en contextos comunitarios. Su eficacia radica en una serie de características clave que garantizan la validez y aplicabilidad de los datos obtenidos.</w:t>
            </w:r>
          </w:p>
          <w:p w14:paraId="55FBDF60" w14:textId="77777777" w:rsidR="00E74FB9" w:rsidRPr="00E74FB9" w:rsidRDefault="00E74FB9" w:rsidP="00E74FB9">
            <w:pPr>
              <w:spacing w:before="240" w:line="240" w:lineRule="auto"/>
            </w:pPr>
            <w:r w:rsidRPr="00E74FB9">
              <w:t>En primer lugar, toda encuesta parte de un objetivo claramente definido. Este propósito orienta el diseño y la aplicación del instrumento. Por ejemplo, se puede indagar sobre las preferencias de los agricultores en cuanto al tipo de semillas que utilizan.</w:t>
            </w:r>
          </w:p>
          <w:p w14:paraId="3AB55AFD" w14:textId="77777777" w:rsidR="00E74FB9" w:rsidRPr="00E74FB9" w:rsidRDefault="00E74FB9" w:rsidP="00E74FB9">
            <w:pPr>
              <w:spacing w:before="240" w:line="240" w:lineRule="auto"/>
            </w:pPr>
            <w:r w:rsidRPr="00E74FB9">
              <w:t>El segundo elemento esencial es el cuestionario, que recopila las percepciones, opiniones o comportamientos de los encuestados a través de preguntas cuidadosamente estructuradas. Estas preguntas pueden ser abiertas, permitiendo respuestas espontáneas en las propias palabras del participante, o cerradas, con opciones de respuesta preestablecidas. Ejemplos comunes incluyen: “¿Qué cultivos siembra usted actualmente?”, como pregunta abierta, o “¿Prefiere semillas criollas o mejoradas?”, como pregunta cerrada.</w:t>
            </w:r>
          </w:p>
          <w:p w14:paraId="5A707214" w14:textId="77777777" w:rsidR="00E74FB9" w:rsidRPr="00E74FB9" w:rsidRDefault="00E74FB9" w:rsidP="00E74FB9">
            <w:pPr>
              <w:spacing w:before="240" w:line="240" w:lineRule="auto"/>
            </w:pPr>
            <w:r w:rsidRPr="00E74FB9">
              <w:t>La encuesta no requiere aplicarse a toda la población. En su lugar, se selecciona una muestra representativa, lo que permite generalizar los resultados con mayor eficiencia. Así, en un municipio agrícola, bastaría con entrevistar a un grupo de entre 30 y 50 campesinos de diferentes veredas para obtener una visión amplia del contexto.</w:t>
            </w:r>
          </w:p>
          <w:p w14:paraId="26D53EC3" w14:textId="77777777" w:rsidR="00E74FB9" w:rsidRPr="00E74FB9" w:rsidRDefault="00E74FB9" w:rsidP="00E74FB9">
            <w:pPr>
              <w:spacing w:before="240" w:line="240" w:lineRule="auto"/>
            </w:pPr>
            <w:r w:rsidRPr="00E74FB9">
              <w:t>Otro aspecto relevante es la posibilidad de aplicar la encuesta de forma anónima. Al no solicitar información personal, se fomenta la sinceridad en las respuestas, incluso en temas sensibles como la percepción sobre el apoyo institucional recibido.</w:t>
            </w:r>
          </w:p>
          <w:p w14:paraId="5DD57BFB" w14:textId="77777777" w:rsidR="00E74FB9" w:rsidRPr="00E74FB9" w:rsidRDefault="00E74FB9" w:rsidP="00E74FB9">
            <w:pPr>
              <w:spacing w:before="240" w:line="240" w:lineRule="auto"/>
            </w:pPr>
            <w:r w:rsidRPr="00E74FB9">
              <w:t>Finalmente, las encuestas tienen un propósito práctico: orientar la toma de decisiones basada en evidencia. Los datos recopilados permiten diseñar intervenciones más ajustadas a la realidad. Por ejemplo, si el 80 % de los encuestados manifiesta preferencia por semillas criollas, se puede priorizar su entrega y fomentar su uso a nivel local.</w:t>
            </w:r>
          </w:p>
          <w:p w14:paraId="1EE03DF5" w14:textId="420DE35E" w:rsidR="00C02521" w:rsidRPr="00C02521" w:rsidRDefault="00C02521" w:rsidP="00C02521">
            <w:pPr>
              <w:spacing w:line="240" w:lineRule="auto"/>
              <w:rPr>
                <w:lang w:val="es-CO"/>
              </w:rPr>
            </w:pPr>
          </w:p>
          <w:p w14:paraId="1BB597C1" w14:textId="77777777" w:rsidR="00C02521" w:rsidRPr="00C02521" w:rsidRDefault="00C02521" w:rsidP="00C02521">
            <w:pPr>
              <w:spacing w:line="240" w:lineRule="auto"/>
              <w:rPr>
                <w:lang w:val="es-CO"/>
              </w:rPr>
            </w:pPr>
            <w:r w:rsidRPr="00C02521">
              <w:rPr>
                <w:lang w:val="es-CO"/>
              </w:rPr>
              <w:t> </w:t>
            </w:r>
          </w:p>
        </w:tc>
      </w:tr>
    </w:tbl>
    <w:p w14:paraId="2D1ED07F" w14:textId="77777777" w:rsidR="009D2E85" w:rsidRDefault="009D2E85">
      <w:pPr>
        <w:spacing w:line="240" w:lineRule="auto"/>
        <w:rPr>
          <w:b/>
        </w:rPr>
      </w:pPr>
    </w:p>
    <w:p w14:paraId="0E97EDDE" w14:textId="77777777" w:rsidR="009D2E85" w:rsidRDefault="009D2E85">
      <w:pPr>
        <w:spacing w:line="240" w:lineRule="auto"/>
        <w:rPr>
          <w:b/>
        </w:rPr>
      </w:pPr>
    </w:p>
    <w:p w14:paraId="3DD44172" w14:textId="77777777" w:rsidR="009D2E85" w:rsidRDefault="009D2E85">
      <w:pPr>
        <w:spacing w:line="240" w:lineRule="auto"/>
        <w:rPr>
          <w:b/>
        </w:rPr>
      </w:pPr>
    </w:p>
    <w:p w14:paraId="26565CCD" w14:textId="77777777" w:rsidR="009D2E85" w:rsidRPr="00BD6557" w:rsidRDefault="009D2E85">
      <w:pPr>
        <w:spacing w:line="240" w:lineRule="auto"/>
        <w:rPr>
          <w:b/>
        </w:rPr>
      </w:pPr>
    </w:p>
    <w:p w14:paraId="00093355" w14:textId="77777777" w:rsidR="00C71D57" w:rsidRDefault="00C71D57">
      <w:pPr>
        <w:spacing w:line="240" w:lineRule="auto"/>
        <w:rPr>
          <w:b/>
        </w:rPr>
      </w:pPr>
    </w:p>
    <w:sectPr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5FB79" w14:textId="77777777" w:rsidR="003C0B1C" w:rsidRDefault="003C0B1C">
      <w:pPr>
        <w:spacing w:line="240" w:lineRule="auto"/>
      </w:pPr>
      <w:r>
        <w:separator/>
      </w:r>
    </w:p>
  </w:endnote>
  <w:endnote w:type="continuationSeparator" w:id="0">
    <w:p w14:paraId="4DEEB76D" w14:textId="77777777" w:rsidR="003C0B1C" w:rsidRDefault="003C0B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A2D6" w14:textId="77777777" w:rsidR="003C0B1C" w:rsidRDefault="003C0B1C">
      <w:pPr>
        <w:spacing w:line="240" w:lineRule="auto"/>
      </w:pPr>
      <w:r>
        <w:separator/>
      </w:r>
    </w:p>
  </w:footnote>
  <w:footnote w:type="continuationSeparator" w:id="0">
    <w:p w14:paraId="6F4D4F2B" w14:textId="77777777" w:rsidR="003C0B1C" w:rsidRDefault="003C0B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56244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41D05"/>
    <w:rsid w:val="000912C1"/>
    <w:rsid w:val="000B5619"/>
    <w:rsid w:val="00101815"/>
    <w:rsid w:val="00106788"/>
    <w:rsid w:val="001067F3"/>
    <w:rsid w:val="00172F64"/>
    <w:rsid w:val="00174BFF"/>
    <w:rsid w:val="00176028"/>
    <w:rsid w:val="001D74B9"/>
    <w:rsid w:val="001F7027"/>
    <w:rsid w:val="002049D2"/>
    <w:rsid w:val="00204CB7"/>
    <w:rsid w:val="0021284A"/>
    <w:rsid w:val="0021605F"/>
    <w:rsid w:val="0022606A"/>
    <w:rsid w:val="00232E7C"/>
    <w:rsid w:val="002465D4"/>
    <w:rsid w:val="00256DB3"/>
    <w:rsid w:val="002A27C6"/>
    <w:rsid w:val="002C686F"/>
    <w:rsid w:val="003138F1"/>
    <w:rsid w:val="003166EB"/>
    <w:rsid w:val="00330A36"/>
    <w:rsid w:val="003C0B1C"/>
    <w:rsid w:val="003C47A8"/>
    <w:rsid w:val="003D2956"/>
    <w:rsid w:val="003D4EC2"/>
    <w:rsid w:val="003D6A7F"/>
    <w:rsid w:val="00416594"/>
    <w:rsid w:val="00431A35"/>
    <w:rsid w:val="0043559E"/>
    <w:rsid w:val="004822E3"/>
    <w:rsid w:val="004C3522"/>
    <w:rsid w:val="004C7FA2"/>
    <w:rsid w:val="004E5424"/>
    <w:rsid w:val="004E7F20"/>
    <w:rsid w:val="00505F59"/>
    <w:rsid w:val="005212B4"/>
    <w:rsid w:val="00566629"/>
    <w:rsid w:val="00567C48"/>
    <w:rsid w:val="00590E95"/>
    <w:rsid w:val="005A4DD3"/>
    <w:rsid w:val="005A62EE"/>
    <w:rsid w:val="005C48CA"/>
    <w:rsid w:val="005D40EC"/>
    <w:rsid w:val="00615887"/>
    <w:rsid w:val="006767A7"/>
    <w:rsid w:val="006778F4"/>
    <w:rsid w:val="006814CB"/>
    <w:rsid w:val="006951E9"/>
    <w:rsid w:val="006D62DD"/>
    <w:rsid w:val="006D65AB"/>
    <w:rsid w:val="006F6F84"/>
    <w:rsid w:val="00750711"/>
    <w:rsid w:val="00770190"/>
    <w:rsid w:val="007A09EA"/>
    <w:rsid w:val="007B4096"/>
    <w:rsid w:val="007D3622"/>
    <w:rsid w:val="00805FD4"/>
    <w:rsid w:val="00817DA7"/>
    <w:rsid w:val="008274E9"/>
    <w:rsid w:val="00864470"/>
    <w:rsid w:val="008679A3"/>
    <w:rsid w:val="00867E7E"/>
    <w:rsid w:val="00872731"/>
    <w:rsid w:val="00893878"/>
    <w:rsid w:val="008A0F4E"/>
    <w:rsid w:val="008E65FF"/>
    <w:rsid w:val="008F1EAB"/>
    <w:rsid w:val="008F5FAC"/>
    <w:rsid w:val="0090554A"/>
    <w:rsid w:val="00915A8D"/>
    <w:rsid w:val="00917E62"/>
    <w:rsid w:val="00920C6B"/>
    <w:rsid w:val="0097481B"/>
    <w:rsid w:val="009847A1"/>
    <w:rsid w:val="009C3C7D"/>
    <w:rsid w:val="009C7134"/>
    <w:rsid w:val="009D2E85"/>
    <w:rsid w:val="009D39BB"/>
    <w:rsid w:val="00A32066"/>
    <w:rsid w:val="00A41A0B"/>
    <w:rsid w:val="00A539D7"/>
    <w:rsid w:val="00A922D2"/>
    <w:rsid w:val="00AA1050"/>
    <w:rsid w:val="00AB72BC"/>
    <w:rsid w:val="00AC450F"/>
    <w:rsid w:val="00AE0643"/>
    <w:rsid w:val="00AE142D"/>
    <w:rsid w:val="00B74BDC"/>
    <w:rsid w:val="00B77CC5"/>
    <w:rsid w:val="00B80615"/>
    <w:rsid w:val="00B923A8"/>
    <w:rsid w:val="00BA703C"/>
    <w:rsid w:val="00BA752D"/>
    <w:rsid w:val="00BB3A44"/>
    <w:rsid w:val="00BD6557"/>
    <w:rsid w:val="00BE0EA4"/>
    <w:rsid w:val="00BE2D99"/>
    <w:rsid w:val="00BE6F10"/>
    <w:rsid w:val="00BF7D78"/>
    <w:rsid w:val="00C02521"/>
    <w:rsid w:val="00C203F9"/>
    <w:rsid w:val="00C42B1B"/>
    <w:rsid w:val="00C50B66"/>
    <w:rsid w:val="00C5157A"/>
    <w:rsid w:val="00C52618"/>
    <w:rsid w:val="00C71D57"/>
    <w:rsid w:val="00CC10FF"/>
    <w:rsid w:val="00CE32F0"/>
    <w:rsid w:val="00D21F69"/>
    <w:rsid w:val="00D5762A"/>
    <w:rsid w:val="00D61CB2"/>
    <w:rsid w:val="00D917F3"/>
    <w:rsid w:val="00D92607"/>
    <w:rsid w:val="00DE15EE"/>
    <w:rsid w:val="00DE2C85"/>
    <w:rsid w:val="00DF340F"/>
    <w:rsid w:val="00E17EF6"/>
    <w:rsid w:val="00E21F86"/>
    <w:rsid w:val="00E43605"/>
    <w:rsid w:val="00E74FB9"/>
    <w:rsid w:val="00EA707E"/>
    <w:rsid w:val="00EC787E"/>
    <w:rsid w:val="00ED4491"/>
    <w:rsid w:val="00EE5A8A"/>
    <w:rsid w:val="00F140D5"/>
    <w:rsid w:val="00F279A8"/>
    <w:rsid w:val="00F729CA"/>
    <w:rsid w:val="00F7392C"/>
    <w:rsid w:val="00FB29D7"/>
    <w:rsid w:val="12BEBD0D"/>
    <w:rsid w:val="18718D02"/>
    <w:rsid w:val="1DCBE229"/>
    <w:rsid w:val="254EFF45"/>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2C686F"/>
    <w:rPr>
      <w:b/>
      <w:bCs/>
    </w:rPr>
  </w:style>
  <w:style w:type="paragraph" w:styleId="ListParagraph">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Emphasis">
    <w:name w:val="Emphasis"/>
    <w:basedOn w:val="DefaultParagraphFont"/>
    <w:uiPriority w:val="20"/>
    <w:qFormat/>
    <w:rsid w:val="00014AF0"/>
    <w:rPr>
      <w:i/>
      <w:iCs/>
    </w:rPr>
  </w:style>
  <w:style w:type="character" w:customStyle="1" w:styleId="apple-converted-space">
    <w:name w:val="apple-converted-space"/>
    <w:basedOn w:val="DefaultParagraphFont"/>
    <w:rsid w:val="00BD6557"/>
  </w:style>
  <w:style w:type="character" w:styleId="Hyperlink">
    <w:name w:val="Hyperlink"/>
    <w:basedOn w:val="DefaultParagraphFont"/>
    <w:uiPriority w:val="99"/>
    <w:unhideWhenUsed/>
    <w:rsid w:val="004822E3"/>
    <w:rPr>
      <w:color w:val="0000FF" w:themeColor="hyperlink"/>
      <w:u w:val="single"/>
    </w:rPr>
  </w:style>
  <w:style w:type="character" w:styleId="CommentReference">
    <w:name w:val="annotation reference"/>
    <w:basedOn w:val="DefaultParagraphFont"/>
    <w:uiPriority w:val="99"/>
    <w:semiHidden/>
    <w:unhideWhenUsed/>
    <w:rsid w:val="008E65FF"/>
    <w:rPr>
      <w:sz w:val="16"/>
      <w:szCs w:val="16"/>
    </w:rPr>
  </w:style>
  <w:style w:type="paragraph" w:styleId="CommentText">
    <w:name w:val="annotation text"/>
    <w:basedOn w:val="Normal"/>
    <w:link w:val="CommentTextChar"/>
    <w:uiPriority w:val="99"/>
    <w:semiHidden/>
    <w:unhideWhenUsed/>
    <w:rsid w:val="008E65FF"/>
    <w:pPr>
      <w:spacing w:line="240" w:lineRule="auto"/>
    </w:pPr>
    <w:rPr>
      <w:sz w:val="20"/>
      <w:szCs w:val="20"/>
    </w:rPr>
  </w:style>
  <w:style w:type="character" w:customStyle="1" w:styleId="CommentTextChar">
    <w:name w:val="Comment Text Char"/>
    <w:basedOn w:val="DefaultParagraphFont"/>
    <w:link w:val="CommentText"/>
    <w:uiPriority w:val="99"/>
    <w:semiHidden/>
    <w:rsid w:val="008E65FF"/>
    <w:rPr>
      <w:sz w:val="20"/>
      <w:szCs w:val="20"/>
    </w:rPr>
  </w:style>
  <w:style w:type="paragraph" w:styleId="CommentSubject">
    <w:name w:val="annotation subject"/>
    <w:basedOn w:val="CommentText"/>
    <w:next w:val="CommentText"/>
    <w:link w:val="CommentSubjectChar"/>
    <w:uiPriority w:val="99"/>
    <w:semiHidden/>
    <w:unhideWhenUsed/>
    <w:rsid w:val="008E65FF"/>
    <w:rPr>
      <w:b/>
      <w:bCs/>
    </w:rPr>
  </w:style>
  <w:style w:type="character" w:customStyle="1" w:styleId="CommentSubjectChar">
    <w:name w:val="Comment Subject Char"/>
    <w:basedOn w:val="CommentTextChar"/>
    <w:link w:val="CommentSubject"/>
    <w:uiPriority w:val="99"/>
    <w:semiHidden/>
    <w:rsid w:val="008E65FF"/>
    <w:rPr>
      <w:b/>
      <w:bCs/>
      <w:sz w:val="20"/>
      <w:szCs w:val="20"/>
    </w:rPr>
  </w:style>
  <w:style w:type="paragraph" w:styleId="BalloonText">
    <w:name w:val="Balloon Text"/>
    <w:basedOn w:val="Normal"/>
    <w:link w:val="BalloonTextChar"/>
    <w:uiPriority w:val="99"/>
    <w:semiHidden/>
    <w:unhideWhenUsed/>
    <w:rsid w:val="008E65F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65FF"/>
    <w:rPr>
      <w:rFonts w:ascii="Segoe UI" w:hAnsi="Segoe UI" w:cs="Segoe UI"/>
      <w:sz w:val="18"/>
      <w:szCs w:val="18"/>
    </w:rPr>
  </w:style>
  <w:style w:type="character" w:styleId="UnresolvedMention">
    <w:name w:val="Unresolved Mention"/>
    <w:basedOn w:val="DefaultParagraphFont"/>
    <w:uiPriority w:val="99"/>
    <w:semiHidden/>
    <w:unhideWhenUsed/>
    <w:rsid w:val="00F140D5"/>
    <w:rPr>
      <w:color w:val="605E5C"/>
      <w:shd w:val="clear" w:color="auto" w:fill="E1DFDD"/>
    </w:rPr>
  </w:style>
  <w:style w:type="paragraph" w:styleId="Header">
    <w:name w:val="header"/>
    <w:basedOn w:val="Normal"/>
    <w:link w:val="HeaderChar"/>
    <w:uiPriority w:val="99"/>
    <w:unhideWhenUsed/>
    <w:rsid w:val="00D61CB2"/>
    <w:pPr>
      <w:tabs>
        <w:tab w:val="center" w:pos="4419"/>
        <w:tab w:val="right" w:pos="8838"/>
      </w:tabs>
      <w:spacing w:line="240" w:lineRule="auto"/>
    </w:pPr>
  </w:style>
  <w:style w:type="character" w:customStyle="1" w:styleId="HeaderChar">
    <w:name w:val="Header Char"/>
    <w:basedOn w:val="DefaultParagraphFont"/>
    <w:link w:val="Header"/>
    <w:uiPriority w:val="99"/>
    <w:rsid w:val="00D61CB2"/>
  </w:style>
  <w:style w:type="paragraph" w:styleId="Footer">
    <w:name w:val="footer"/>
    <w:basedOn w:val="Normal"/>
    <w:link w:val="FooterChar"/>
    <w:uiPriority w:val="99"/>
    <w:unhideWhenUsed/>
    <w:rsid w:val="00D61CB2"/>
    <w:pPr>
      <w:tabs>
        <w:tab w:val="center" w:pos="4419"/>
        <w:tab w:val="right" w:pos="8838"/>
      </w:tabs>
      <w:spacing w:line="240" w:lineRule="auto"/>
    </w:pPr>
  </w:style>
  <w:style w:type="character" w:customStyle="1" w:styleId="FooterChar">
    <w:name w:val="Footer Char"/>
    <w:basedOn w:val="DefaultParagraphFont"/>
    <w:link w:val="Footer"/>
    <w:uiPriority w:val="99"/>
    <w:rsid w:val="00D61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259B9D-05E4-421A-B20F-B5B5D40B8C4D}"/>
</file>

<file path=customXml/itemProps2.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3.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358</Words>
  <Characters>1974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Paola Alexandra Moya Peralta</cp:lastModifiedBy>
  <cp:revision>4</cp:revision>
  <dcterms:created xsi:type="dcterms:W3CDTF">2025-08-21T15:11:00Z</dcterms:created>
  <dcterms:modified xsi:type="dcterms:W3CDTF">2025-09-14T15:53:00Z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