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AD3184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6A73B25" w14:textId="4B41B3B2" w:rsidR="00EC1002" w:rsidRPr="00E10AC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E10ACF">
              <w:rPr>
                <w:rFonts w:ascii="Calibri" w:eastAsia="Calibri" w:hAnsi="Calibri" w:cs="Calibri"/>
                <w:i/>
                <w:color w:val="000000"/>
              </w:rPr>
              <w:t xml:space="preserve"> Automatización de tareas en Excel: macros y </w:t>
            </w:r>
            <w:proofErr w:type="spellStart"/>
            <w:r w:rsidR="00E10ACF">
              <w:rPr>
                <w:rFonts w:ascii="Calibri" w:eastAsia="Calibri" w:hAnsi="Calibri" w:cs="Calibri"/>
                <w:i/>
                <w:color w:val="000000"/>
              </w:rPr>
              <w:t>Power</w:t>
            </w:r>
            <w:proofErr w:type="spellEnd"/>
            <w:r w:rsidR="00E10ACF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 w:rsidR="00E10ACF">
              <w:rPr>
                <w:rFonts w:ascii="Calibri" w:eastAsia="Calibri" w:hAnsi="Calibri" w:cs="Calibri"/>
                <w:i/>
                <w:color w:val="000000"/>
              </w:rPr>
              <w:t>Query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3F357662" w14:textId="77777777" w:rsidR="00622ADA" w:rsidRDefault="00622AD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95C36F1" w:rsidR="00F70AE9" w:rsidRPr="000E3ADC" w:rsidRDefault="00E10ACF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10ACF">
              <w:rPr>
                <w:rFonts w:ascii="Calibri" w:eastAsia="Calibri" w:hAnsi="Calibri" w:cs="Calibri"/>
                <w:i/>
                <w:color w:val="auto"/>
              </w:rPr>
              <w:t>Macros</w:t>
            </w:r>
            <w:r w:rsidR="007C538F" w:rsidRPr="00E10ACF">
              <w:rPr>
                <w:rFonts w:ascii="Calibri" w:eastAsia="Calibri" w:hAnsi="Calibri" w:cs="Calibri"/>
                <w:i/>
                <w:color w:val="auto"/>
              </w:rPr>
              <w:t xml:space="preserve"> en Excel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1DB6FC2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</w:t>
            </w: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643937">
              <w:rPr>
                <w:rFonts w:ascii="Calibri" w:eastAsia="Calibri" w:hAnsi="Calibri" w:cs="Calibri"/>
                <w:i/>
                <w:color w:val="auto"/>
              </w:rPr>
              <w:t xml:space="preserve">a gestión de los diferentes </w:t>
            </w:r>
            <w:r w:rsidR="008C3E09">
              <w:rPr>
                <w:rFonts w:ascii="Calibri" w:eastAsia="Calibri" w:hAnsi="Calibri" w:cs="Calibri"/>
                <w:i/>
                <w:color w:val="auto"/>
              </w:rPr>
              <w:t>conceptos necesarios para la elaboración de macros en Excel</w:t>
            </w:r>
            <w:r w:rsidR="00EC100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9BF3D28" w:rsidR="00C57B0F" w:rsidRPr="00F538B7" w:rsidRDefault="008C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Para grabar una macro es indispensable conocer programación en VBA.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proofErr w:type="spellStart"/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</w:t>
            </w:r>
            <w:proofErr w:type="spellEnd"/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89A03C5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78F670B" w:rsidR="00C57B0F" w:rsidRPr="00F538B7" w:rsidRDefault="008C3E0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D478781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l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 grabación de macros captura acciones sin escribir código.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A80610F" w:rsidR="00C57B0F" w:rsidRPr="00F538B7" w:rsidRDefault="008C3E0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pestaña Programador no está visible por defecto y debe activarse desde las Opciones de Excel.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8CD00F8" w:rsidR="00C57B0F" w:rsidRPr="00F538B7" w:rsidRDefault="008C3E0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6BAB3456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65F8061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Se habilita en Archivo → Opciones → Personalizar cinta → Programador.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85799A3" w:rsidR="00C57B0F" w:rsidRPr="00F538B7" w:rsidRDefault="008C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Al guardar un libro con macros en formato .xlsx, las macros pueden perderse o no guardarse.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23ADC667" w:rsidR="00C57B0F" w:rsidRPr="00F538B7" w:rsidRDefault="008C3E0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CA11C22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6B7FE65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se debe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usar un formato habilitado para macros, como </w:t>
            </w:r>
            <w:r w:rsidR="008C3E09"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  <w:proofErr w:type="spellStart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xlsm</w:t>
            </w:r>
            <w:proofErr w:type="spellEnd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C2CE59C" w:rsidR="00C57B0F" w:rsidRPr="00F538B7" w:rsidRDefault="008C3E09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pestaña Programador se habilita desde Archivo → Guardar como</w:t>
            </w:r>
            <w:r w:rsidR="00622ADA" w:rsidRPr="00622ADA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BE604D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s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 activa en </w:t>
            </w:r>
            <w:r w:rsidR="008C3E09"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Opciones → Personalizar cinta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no al guardar.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62BE7DF" w:rsidR="00C57B0F" w:rsidRPr="00F538B7" w:rsidRDefault="008C3E0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VBA permite personalizar y automatizar Excel y otras aplicaciones de Microsoft.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D6B2536" w:rsidR="00C57B0F" w:rsidRPr="00F538B7" w:rsidRDefault="008C3E0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27F623C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518BD2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, 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VBA está presente en varias </w:t>
            </w:r>
            <w:proofErr w:type="gramStart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apps</w:t>
            </w:r>
            <w:proofErr w:type="gramEnd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de Microsoft, no solo en Excel.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2B63D5C" w:rsidR="00C57B0F" w:rsidRPr="00F538B7" w:rsidRDefault="008C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Las funciones en VBA no devuelven valor; las subrutinas sí devuelven valor.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45CDAA5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93CDF2E" w:rsidR="00C57B0F" w:rsidRPr="00F538B7" w:rsidRDefault="008C3E0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FAB5BCF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544DA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Function</w:t>
            </w:r>
            <w:proofErr w:type="spellEnd"/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devuelve un valor; Sub no devuelve valores.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BFCF95B" w:rsidR="00075BDE" w:rsidRPr="00F538B7" w:rsidRDefault="008C3E0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8C3E0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Una subrutina es ideal para aplicar formato y manipular celdas sin devolver un valor</w:t>
            </w:r>
            <w:r w:rsidR="00954E75" w:rsidRPr="00954E75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49C91F9" w:rsidR="00075BDE" w:rsidRPr="00F538B7" w:rsidRDefault="00F0104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6ECC32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4097E0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D8625F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l</w:t>
            </w:r>
            <w:r w:rsidR="008C3E09" w:rsidRPr="008C3E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as Sub ejecutan acciones (formato, rangos, etc.) sin retornar valores.</w:t>
            </w: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A950B85" w:rsidR="00075BDE" w:rsidRPr="00F538B7" w:rsidRDefault="0094774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94774E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Las macros son útiles principalmente para reducir errores humanos y garantizar la consistencia en tareas repetitivas</w:t>
            </w:r>
            <w:r w:rsidR="00954E75" w:rsidRPr="00954E75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2ABB5F96" w:rsidR="00075BDE" w:rsidRPr="00F538B7" w:rsidRDefault="0094774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14ECC64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7D2440B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D8625F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e</w:t>
            </w:r>
            <w:r w:rsidR="0094774E" w:rsidRPr="0094774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fectivamente, además de ahorrar tiempo, dos de los mayores beneficios de las macros son la disminución de errores manuales y la estandarización de los procesos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2853487B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</w:t>
            </w:r>
            <w:r w:rsidR="00D8625F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0030BB3" w:rsidR="009921BA" w:rsidRPr="00F538B7" w:rsidRDefault="0094774E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94774E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Para escribir código VBA, es necesario insertar un "Módulo" desde el menú "Insertar" en el editor de Visual Basic.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37046A4" w:rsidR="009921BA" w:rsidRPr="00F538B7" w:rsidRDefault="0098607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AF0D034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B5BFAA9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Excelente trabajo</w:t>
            </w:r>
            <w:r w:rsidR="00D8625F">
              <w:rPr>
                <w:rFonts w:asciiTheme="majorHAnsi" w:eastAsia="Calibri" w:hAnsiTheme="majorHAnsi" w:cstheme="majorHAnsi"/>
                <w:sz w:val="20"/>
                <w:szCs w:val="20"/>
              </w:rPr>
              <w:t>, e</w:t>
            </w:r>
            <w:r w:rsidR="0094774E" w:rsidRPr="0094774E">
              <w:rPr>
                <w:rFonts w:asciiTheme="majorHAnsi" w:eastAsia="Calibri" w:hAnsiTheme="majorHAnsi" w:cstheme="majorHAnsi"/>
                <w:sz w:val="20"/>
                <w:szCs w:val="20"/>
              </w:rPr>
              <w:t>l código de las macros y funciones personalizadas se escribe dentro de módulos, que actúan como contenedores para organizar el código en el proyecto de VBA</w:t>
            </w:r>
            <w:r w:rsidR="00C01106" w:rsidRPr="00C01106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46B42DB" w:rsidR="00A9514B" w:rsidRDefault="0013166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BD5442F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0E528C" w:rsidR="00C0495F" w:rsidRDefault="0013166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3F6B094" w:rsidR="00C0495F" w:rsidRDefault="0013166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33ECF" w14:textId="77777777" w:rsidR="00E26B5E" w:rsidRDefault="00E26B5E">
      <w:pPr>
        <w:spacing w:line="240" w:lineRule="auto"/>
      </w:pPr>
      <w:r>
        <w:separator/>
      </w:r>
    </w:p>
  </w:endnote>
  <w:endnote w:type="continuationSeparator" w:id="0">
    <w:p w14:paraId="1B4C80C1" w14:textId="77777777" w:rsidR="00E26B5E" w:rsidRDefault="00E26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C9819" w14:textId="77777777" w:rsidR="00E26B5E" w:rsidRDefault="00E26B5E">
      <w:pPr>
        <w:spacing w:line="240" w:lineRule="auto"/>
      </w:pPr>
      <w:r>
        <w:separator/>
      </w:r>
    </w:p>
  </w:footnote>
  <w:footnote w:type="continuationSeparator" w:id="0">
    <w:p w14:paraId="5911B618" w14:textId="77777777" w:rsidR="00E26B5E" w:rsidRDefault="00E26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39657144">
    <w:abstractNumId w:val="1"/>
  </w:num>
  <w:num w:numId="2" w16cid:durableId="156945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46F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0066B"/>
    <w:rsid w:val="00131661"/>
    <w:rsid w:val="0018141D"/>
    <w:rsid w:val="0018472E"/>
    <w:rsid w:val="001A6663"/>
    <w:rsid w:val="001B5CD5"/>
    <w:rsid w:val="001C2159"/>
    <w:rsid w:val="001D65D0"/>
    <w:rsid w:val="001F0B68"/>
    <w:rsid w:val="00230CDA"/>
    <w:rsid w:val="00243F3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75F75"/>
    <w:rsid w:val="00482C46"/>
    <w:rsid w:val="004A00B2"/>
    <w:rsid w:val="004D26E9"/>
    <w:rsid w:val="004E274A"/>
    <w:rsid w:val="00544DAE"/>
    <w:rsid w:val="00563518"/>
    <w:rsid w:val="005D6C01"/>
    <w:rsid w:val="00622ADA"/>
    <w:rsid w:val="00643937"/>
    <w:rsid w:val="00654A50"/>
    <w:rsid w:val="00684E23"/>
    <w:rsid w:val="006C0A88"/>
    <w:rsid w:val="006C52FA"/>
    <w:rsid w:val="006E3579"/>
    <w:rsid w:val="006F18CA"/>
    <w:rsid w:val="006F219D"/>
    <w:rsid w:val="00701B54"/>
    <w:rsid w:val="0070526E"/>
    <w:rsid w:val="00725E57"/>
    <w:rsid w:val="00736566"/>
    <w:rsid w:val="00760C44"/>
    <w:rsid w:val="00763ED4"/>
    <w:rsid w:val="00771622"/>
    <w:rsid w:val="00774E6E"/>
    <w:rsid w:val="0078087A"/>
    <w:rsid w:val="00782B1E"/>
    <w:rsid w:val="007844D1"/>
    <w:rsid w:val="007878C4"/>
    <w:rsid w:val="007A2029"/>
    <w:rsid w:val="007C4232"/>
    <w:rsid w:val="007C538F"/>
    <w:rsid w:val="007F6710"/>
    <w:rsid w:val="00805A67"/>
    <w:rsid w:val="00814E3C"/>
    <w:rsid w:val="00822675"/>
    <w:rsid w:val="00822B52"/>
    <w:rsid w:val="00825F05"/>
    <w:rsid w:val="00832A4E"/>
    <w:rsid w:val="00836FBD"/>
    <w:rsid w:val="00862211"/>
    <w:rsid w:val="00894677"/>
    <w:rsid w:val="008C3E09"/>
    <w:rsid w:val="008C5CA0"/>
    <w:rsid w:val="008E1685"/>
    <w:rsid w:val="008E6807"/>
    <w:rsid w:val="008F7BC0"/>
    <w:rsid w:val="00902CCE"/>
    <w:rsid w:val="00917B02"/>
    <w:rsid w:val="0093192C"/>
    <w:rsid w:val="0094774E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1B15"/>
    <w:rsid w:val="00A9514B"/>
    <w:rsid w:val="00AB0D8B"/>
    <w:rsid w:val="00AD367E"/>
    <w:rsid w:val="00B00A40"/>
    <w:rsid w:val="00B02B81"/>
    <w:rsid w:val="00B11CF2"/>
    <w:rsid w:val="00B33D03"/>
    <w:rsid w:val="00B41226"/>
    <w:rsid w:val="00B50FF9"/>
    <w:rsid w:val="00B63D1C"/>
    <w:rsid w:val="00B80FD7"/>
    <w:rsid w:val="00BB561B"/>
    <w:rsid w:val="00BD183E"/>
    <w:rsid w:val="00BE1AF5"/>
    <w:rsid w:val="00BE7AE1"/>
    <w:rsid w:val="00C01106"/>
    <w:rsid w:val="00C0495F"/>
    <w:rsid w:val="00C33AF7"/>
    <w:rsid w:val="00C57B0F"/>
    <w:rsid w:val="00C82E1B"/>
    <w:rsid w:val="00C85661"/>
    <w:rsid w:val="00CA2567"/>
    <w:rsid w:val="00CD3981"/>
    <w:rsid w:val="00CE14A4"/>
    <w:rsid w:val="00CF6CED"/>
    <w:rsid w:val="00D154B7"/>
    <w:rsid w:val="00D16CEB"/>
    <w:rsid w:val="00D224A0"/>
    <w:rsid w:val="00D44BF4"/>
    <w:rsid w:val="00D8625F"/>
    <w:rsid w:val="00D96770"/>
    <w:rsid w:val="00DB2A5D"/>
    <w:rsid w:val="00DC2A05"/>
    <w:rsid w:val="00DE3F3C"/>
    <w:rsid w:val="00E10ACF"/>
    <w:rsid w:val="00E23F58"/>
    <w:rsid w:val="00E26B5E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D1"/>
  </w:style>
  <w:style w:type="paragraph" w:styleId="Footer">
    <w:name w:val="footer"/>
    <w:basedOn w:val="Normal"/>
    <w:link w:val="Foot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D1"/>
  </w:style>
  <w:style w:type="paragraph" w:styleId="ListParagraph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b250f519-6473-4480-8c44-6ee3a3a530c3"/>
    <ds:schemaRef ds:uri="d174a4fb-80c2-4523-8d89-375030acacbf"/>
  </ds:schemaRefs>
</ds:datastoreItem>
</file>

<file path=customXml/itemProps2.xml><?xml version="1.0" encoding="utf-8"?>
<ds:datastoreItem xmlns:ds="http://schemas.openxmlformats.org/officeDocument/2006/customXml" ds:itemID="{D08309F1-CDFF-4295-9DA1-5A1CA1033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4fb-80c2-4523-8d89-375030acacbf"/>
    <ds:schemaRef ds:uri="b250f519-6473-4480-8c44-6ee3a3a53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866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Paola Alexandra Moya Peralta</cp:lastModifiedBy>
  <cp:revision>9</cp:revision>
  <dcterms:created xsi:type="dcterms:W3CDTF">2025-09-01T22:27:00Z</dcterms:created>
  <dcterms:modified xsi:type="dcterms:W3CDTF">2025-09-09T02:26:00Z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  <property fmtid="{D5CDD505-2E9C-101B-9397-08002B2CF9AE}" pid="12" name="Order">
    <vt:r8>67350000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