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6" w:hanging="360"/>
        <w:rPr/>
      </w:pPr>
      <w:r w:rsidDel="00000000" w:rsidR="00000000" w:rsidRPr="00000000">
        <w:rPr>
          <w:rtl w:val="0"/>
        </w:rPr>
        <w:t xml:space="preserve">PREGUNTAS DE SELECCIÓN MÚLTIPLE CON ÚNICA RESPUESTA</w:t>
      </w:r>
    </w:p>
    <w:p w:rsidR="00000000" w:rsidDel="00000000" w:rsidP="00000000" w:rsidRDefault="00000000" w:rsidRPr="00000000" w14:paraId="00000002">
      <w:pPr>
        <w:spacing w:line="276" w:lineRule="auto"/>
        <w:ind w:left="7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6" w:hanging="360"/>
        <w:rPr/>
      </w:pPr>
      <w:r w:rsidDel="00000000" w:rsidR="00000000" w:rsidRPr="00000000">
        <w:rPr>
          <w:rtl w:val="0"/>
        </w:rPr>
        <w:t xml:space="preserve">Seleccione la respuesta correspondiente a los siguientes planteamientos: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360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guías deben manejar un buen nivel de comunicación, a fin 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y propiciar la conservación de las tradiciones, el aprendizaje de los modos de trabajo y el significado de las celebraciones.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Mantener el interés de los turistas, solucionar los inconvenientes que se puedan presentar y negociar para solucionar los problemas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Demostrar un estado de ánimo, un sentimiento, una característica, una enfermedad, y otras situaciones naturales del guía.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Descubrir necesidades del turista como curiosidad, culturales y ambientales y los ponen en conocimiento de propios y visitantes.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360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guías de turismo deben comprometen a manejar sus emociones y tener una eficiente comunicación, con acciones como: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360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Manejo de conducta verbal.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360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Identificación de problemas.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360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 en el vestir.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360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Práctica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relaciones humana.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conflicto es: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425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acuerdo entre dos o más personas a consecuencia de la misma percepción que las partes involucradas.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425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choque entre más de 10  personas a consecuencia de querer debatir sobre temas políticos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sociales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 país.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425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acuerdo entre más de 20 personas a consecuencia de la misma idea que las partes involucradas deben defender.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hanging="425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 choque entre dos o más personas a consecuencia de la distinta percepción que las partes involucradas.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guías de turismo tienen como actividad fundamental en las condiciones del servicio la 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Asesorar y verificar la contratación y los servicios.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Asesorar y verificar los servicios turísticos.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Contratar los servicios a las agencias de viajes.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Asesorar a las empresas de transporte y alojamiento.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acilidades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turísticas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 el conjunto de bienes y servicios con que cuenta el destino turístico para satisfacer las necesidades del visitante o turista, y son: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Alojamiento, transporte, restaurantes, carreteras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salud y eventos.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Alojamiento, transporte, servicios de información, restaurantes y eventos.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Alojamiento, transporte, restaurantes, salud y eventos.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Hoteles, plazas de mercado, estaciones de servicio, entretenimiento y carreteras.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principio de NO dejar rastro  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Revis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si realmente hay la necesidad de hacer fuego.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Llevar 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 a 15 personas si es campo abierto.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Solicitar transporte eléctrico.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Determinar las normas legales vigentes.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31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guía debe establecer las medidas de control necesarias para proteger la seguridad y la salud de los turistas y el equipo de trabajo. Por ende, debe reconocer el plan de contingencia o plan general de emergencias que determinan: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espacios visitados y el manejo de la emergencia.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plan de acomodación y seguridad o VAS.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las medidas, planes y controles existentes.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acciones necesarias prehospitalarias.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elaboración de itinerarios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 el guía cuando: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contrato firmado entre las partes:  cliente 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restador de servicio.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administración de la agencia de viajes lo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acuerdo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 el cronograma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Tenga claro los horarios y condiciones de los servicios conexos.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Cuando la empresa pida generar la orden para el transporte terrestre.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 las recomendaciones sobre los servicios de guionaje contratados el usuario debe identificar que: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El guía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carnetizado.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devuelvan el IVA.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operador tenga reputación.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ompra en lugares avalados por normas.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normativa de Prevención de la Explotación Sexual Niños, Niñas y Adolescentes Escnna pretende, esencialmente: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ensibilizar e informar a la sociedad sobre la importancia de proteger y garantizar los derechos de niñas, niños y adolescentes y brindar información sobre los diferentes canales de denuncia del delito de la Explotación Sexual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ensibilizar e informar a la sociedad sobre la normatividad para que se denuncie ante la procuraduría información sobre los diferentes hechos que vea en el lugar de Explotación Sexual Comercial ante el Ministerio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ensibilizar e informar a la sociedad sobre la importancia de proteger y garantizar los derechos de niñas, niños y adolescentes, brindando por medio de ella información sobre los diferentes canales de denuncia del delito de la Explotación Sexual Comercial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ante el Ministerio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las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ecnologías de la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ensibilizar e informar a la sociedad sobre la importancia de proteger y garantizar los derechos de niñas, niños y adolescentes, brindando por medio de ella información sobre los diferentes canales de denuncia del delito de la Explotación Sexual Comercial ante el Ministerio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ultura 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urismo del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highlight w:val="yellow"/>
          <w:rtl w:val="0"/>
        </w:rPr>
        <w:t xml:space="preserve">RESPUESTAS SEÑALADAS EN AMARILLO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70ad47"/>
        </w:rPr>
      </w:pPr>
      <w:r w:rsidDel="00000000" w:rsidR="00000000" w:rsidRPr="00000000">
        <w:rPr>
          <w:color w:val="ff0000"/>
          <w:rtl w:val="0"/>
        </w:rPr>
        <w:t xml:space="preserve">Si contesta correctamente: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0ad47"/>
          <w:rtl w:val="0"/>
        </w:rPr>
        <w:t xml:space="preserve">¡Muy bien</w:t>
      </w:r>
      <w:r w:rsidDel="00000000" w:rsidR="00000000" w:rsidRPr="00000000">
        <w:rPr>
          <w:color w:val="70ad47"/>
          <w:rtl w:val="0"/>
        </w:rPr>
        <w:t xml:space="preserve">! Su respuesta es correcta. Tenga presentes todos los elementos trabajados en el componente para potenciar su asimilación de los contenidos.</w:t>
      </w:r>
    </w:p>
    <w:p w:rsidR="00000000" w:rsidDel="00000000" w:rsidP="00000000" w:rsidRDefault="00000000" w:rsidRPr="00000000" w14:paraId="00000046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480" w:lineRule="auto"/>
        <w:rPr>
          <w:color w:val="70ad47"/>
        </w:rPr>
      </w:pPr>
      <w:r w:rsidDel="00000000" w:rsidR="00000000" w:rsidRPr="00000000">
        <w:rPr>
          <w:color w:val="ff0000"/>
          <w:rtl w:val="0"/>
        </w:rPr>
        <w:t xml:space="preserve">Si contesta erróneamente: </w:t>
      </w:r>
      <w:r w:rsidDel="00000000" w:rsidR="00000000" w:rsidRPr="00000000">
        <w:rPr>
          <w:color w:val="70ad47"/>
          <w:rtl w:val="0"/>
        </w:rPr>
        <w:t xml:space="preserve">¡</w:t>
      </w:r>
      <w:r w:rsidDel="00000000" w:rsidR="00000000" w:rsidRPr="00000000">
        <w:rPr>
          <w:b w:val="1"/>
          <w:color w:val="70ad47"/>
          <w:rtl w:val="0"/>
        </w:rPr>
        <w:t xml:space="preserve">Atención</w:t>
      </w:r>
      <w:r w:rsidDel="00000000" w:rsidR="00000000" w:rsidRPr="00000000">
        <w:rPr>
          <w:color w:val="70ad47"/>
          <w:rtl w:val="0"/>
        </w:rPr>
        <w:t xml:space="preserve">! Revise su respuesta. Tenga presentes los datos y conceptos trabajados durante este componente formativo. Le sugerimos hacer un repaso de este punto y revisar su libreta personal de apuntes.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36" w:hanging="360"/>
      </w:pPr>
      <w:rPr/>
    </w:lvl>
    <w:lvl w:ilvl="1">
      <w:start w:val="1"/>
      <w:numFmt w:val="lowerLetter"/>
      <w:lvlText w:val="%2."/>
      <w:lvlJc w:val="left"/>
      <w:pPr>
        <w:ind w:left="856" w:hanging="360.0000000000001"/>
      </w:pPr>
      <w:rPr/>
    </w:lvl>
    <w:lvl w:ilvl="2">
      <w:start w:val="1"/>
      <w:numFmt w:val="lowerRoman"/>
      <w:lvlText w:val="%3."/>
      <w:lvlJc w:val="right"/>
      <w:pPr>
        <w:ind w:left="1576" w:hanging="180"/>
      </w:pPr>
      <w:rPr/>
    </w:lvl>
    <w:lvl w:ilvl="3">
      <w:start w:val="1"/>
      <w:numFmt w:val="decimal"/>
      <w:lvlText w:val="%4."/>
      <w:lvlJc w:val="left"/>
      <w:pPr>
        <w:ind w:left="2296" w:hanging="360"/>
      </w:pPr>
      <w:rPr/>
    </w:lvl>
    <w:lvl w:ilvl="4">
      <w:start w:val="1"/>
      <w:numFmt w:val="lowerLetter"/>
      <w:lvlText w:val="%5."/>
      <w:lvlJc w:val="left"/>
      <w:pPr>
        <w:ind w:left="3016" w:hanging="360"/>
      </w:pPr>
      <w:rPr/>
    </w:lvl>
    <w:lvl w:ilvl="5">
      <w:start w:val="1"/>
      <w:numFmt w:val="lowerRoman"/>
      <w:lvlText w:val="%6."/>
      <w:lvlJc w:val="right"/>
      <w:pPr>
        <w:ind w:left="3736" w:hanging="180"/>
      </w:pPr>
      <w:rPr/>
    </w:lvl>
    <w:lvl w:ilvl="6">
      <w:start w:val="1"/>
      <w:numFmt w:val="decimal"/>
      <w:lvlText w:val="%7."/>
      <w:lvlJc w:val="left"/>
      <w:pPr>
        <w:ind w:left="4456" w:hanging="360"/>
      </w:pPr>
      <w:rPr/>
    </w:lvl>
    <w:lvl w:ilvl="7">
      <w:start w:val="1"/>
      <w:numFmt w:val="lowerLetter"/>
      <w:lvlText w:val="%8."/>
      <w:lvlJc w:val="left"/>
      <w:pPr>
        <w:ind w:left="5176" w:hanging="360"/>
      </w:pPr>
      <w:rPr/>
    </w:lvl>
    <w:lvl w:ilvl="8">
      <w:start w:val="1"/>
      <w:numFmt w:val="lowerRoman"/>
      <w:lvlText w:val="%9."/>
      <w:lvlJc w:val="right"/>
      <w:pPr>
        <w:ind w:left="589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-284" w:hanging="360"/>
      </w:pPr>
      <w:rPr/>
    </w:lvl>
    <w:lvl w:ilvl="1">
      <w:start w:val="1"/>
      <w:numFmt w:val="lowerLetter"/>
      <w:lvlText w:val="%2."/>
      <w:lvlJc w:val="left"/>
      <w:pPr>
        <w:ind w:left="436" w:hanging="360"/>
      </w:pPr>
      <w:rPr/>
    </w:lvl>
    <w:lvl w:ilvl="2">
      <w:start w:val="1"/>
      <w:numFmt w:val="lowerRoman"/>
      <w:lvlText w:val="%3."/>
      <w:lvlJc w:val="right"/>
      <w:pPr>
        <w:ind w:left="1156" w:hanging="180"/>
      </w:pPr>
      <w:rPr/>
    </w:lvl>
    <w:lvl w:ilvl="3">
      <w:start w:val="1"/>
      <w:numFmt w:val="decimal"/>
      <w:lvlText w:val="%4."/>
      <w:lvlJc w:val="left"/>
      <w:pPr>
        <w:ind w:left="1876" w:hanging="360"/>
      </w:pPr>
      <w:rPr/>
    </w:lvl>
    <w:lvl w:ilvl="4">
      <w:start w:val="1"/>
      <w:numFmt w:val="lowerLetter"/>
      <w:lvlText w:val="%5."/>
      <w:lvlJc w:val="left"/>
      <w:pPr>
        <w:ind w:left="2596" w:hanging="360"/>
      </w:pPr>
      <w:rPr/>
    </w:lvl>
    <w:lvl w:ilvl="5">
      <w:start w:val="1"/>
      <w:numFmt w:val="lowerRoman"/>
      <w:lvlText w:val="%6."/>
      <w:lvlJc w:val="right"/>
      <w:pPr>
        <w:ind w:left="3316" w:hanging="180"/>
      </w:pPr>
      <w:rPr/>
    </w:lvl>
    <w:lvl w:ilvl="6">
      <w:start w:val="1"/>
      <w:numFmt w:val="decimal"/>
      <w:lvlText w:val="%7."/>
      <w:lvlJc w:val="left"/>
      <w:pPr>
        <w:ind w:left="4036" w:hanging="360"/>
      </w:pPr>
      <w:rPr/>
    </w:lvl>
    <w:lvl w:ilvl="7">
      <w:start w:val="1"/>
      <w:numFmt w:val="lowerLetter"/>
      <w:lvlText w:val="%8."/>
      <w:lvlJc w:val="left"/>
      <w:pPr>
        <w:ind w:left="4756" w:hanging="360"/>
      </w:pPr>
      <w:rPr/>
    </w:lvl>
    <w:lvl w:ilvl="8">
      <w:start w:val="1"/>
      <w:numFmt w:val="lowerRoman"/>
      <w:lvlText w:val="%9."/>
      <w:lvlJc w:val="right"/>
      <w:pPr>
        <w:ind w:left="5476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