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C63F" w14:textId="77777777" w:rsidR="00F65D16" w:rsidRDefault="00ED7146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ANEXO ACTIVIDAD DIDÁCTICA</w:t>
      </w:r>
    </w:p>
    <w:tbl>
      <w:tblPr>
        <w:tblStyle w:val="a"/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8"/>
        <w:gridCol w:w="6266"/>
      </w:tblGrid>
      <w:tr w:rsidR="00F65D16" w14:paraId="3D2DD440" w14:textId="77777777">
        <w:trPr>
          <w:trHeight w:val="283"/>
        </w:trPr>
        <w:tc>
          <w:tcPr>
            <w:tcW w:w="9214" w:type="dxa"/>
            <w:gridSpan w:val="2"/>
            <w:shd w:val="clear" w:color="auto" w:fill="FAC896"/>
            <w:vAlign w:val="center"/>
          </w:tcPr>
          <w:p w14:paraId="56740D44" w14:textId="0FD9DC3D" w:rsidR="00F65D16" w:rsidRDefault="00ED714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DESCRIPCIÓN DE </w:t>
            </w:r>
            <w:r w:rsidR="008B22CD">
              <w:rPr>
                <w:color w:val="000000"/>
                <w:sz w:val="20"/>
                <w:szCs w:val="20"/>
              </w:rPr>
              <w:t xml:space="preserve">LA </w:t>
            </w:r>
            <w:r>
              <w:rPr>
                <w:color w:val="000000"/>
                <w:sz w:val="20"/>
                <w:szCs w:val="20"/>
              </w:rPr>
              <w:t>ACTIVIDAD DIDÁCTICA</w:t>
            </w:r>
          </w:p>
        </w:tc>
      </w:tr>
      <w:tr w:rsidR="00F65D16" w14:paraId="57E18288" w14:textId="77777777">
        <w:trPr>
          <w:trHeight w:val="583"/>
        </w:trPr>
        <w:tc>
          <w:tcPr>
            <w:tcW w:w="2948" w:type="dxa"/>
            <w:shd w:val="clear" w:color="auto" w:fill="FAC896"/>
            <w:vAlign w:val="center"/>
          </w:tcPr>
          <w:p w14:paraId="22348055" w14:textId="77777777" w:rsidR="00F65D16" w:rsidRDefault="00ED714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PROGRAMA DE </w:t>
            </w:r>
            <w:r>
              <w:rPr>
                <w:sz w:val="20"/>
                <w:szCs w:val="20"/>
              </w:rPr>
              <w:t>FORMACIÓN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532BF1A1" w14:textId="5B02120E" w:rsidR="00F65D16" w:rsidRDefault="00ED7146">
            <w:pPr>
              <w:spacing w:line="240" w:lineRule="au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Comercio de </w:t>
            </w:r>
            <w:r w:rsidR="008B22CD">
              <w:rPr>
                <w:b w:val="0"/>
                <w:color w:val="000000"/>
                <w:sz w:val="20"/>
                <w:szCs w:val="20"/>
              </w:rPr>
              <w:t>pr</w:t>
            </w:r>
            <w:r>
              <w:rPr>
                <w:b w:val="0"/>
                <w:color w:val="000000"/>
                <w:sz w:val="20"/>
                <w:szCs w:val="20"/>
              </w:rPr>
              <w:t xml:space="preserve">oductos </w:t>
            </w:r>
            <w:r w:rsidR="00F673C5">
              <w:rPr>
                <w:b w:val="0"/>
                <w:color w:val="000000"/>
                <w:sz w:val="20"/>
                <w:szCs w:val="20"/>
              </w:rPr>
              <w:t>s</w:t>
            </w:r>
            <w:r>
              <w:rPr>
                <w:b w:val="0"/>
                <w:color w:val="000000"/>
                <w:sz w:val="20"/>
                <w:szCs w:val="20"/>
              </w:rPr>
              <w:t>ostenibles</w:t>
            </w:r>
          </w:p>
        </w:tc>
      </w:tr>
      <w:tr w:rsidR="00F65D16" w14:paraId="66767343" w14:textId="77777777">
        <w:trPr>
          <w:trHeight w:val="562"/>
        </w:trPr>
        <w:tc>
          <w:tcPr>
            <w:tcW w:w="2948" w:type="dxa"/>
            <w:shd w:val="clear" w:color="auto" w:fill="FAC896"/>
            <w:vAlign w:val="center"/>
          </w:tcPr>
          <w:p w14:paraId="01597B78" w14:textId="77777777" w:rsidR="00F65D16" w:rsidRDefault="00ED714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COMPONENTE</w:t>
            </w:r>
            <w:r>
              <w:rPr>
                <w:color w:val="000000"/>
                <w:sz w:val="20"/>
                <w:szCs w:val="20"/>
              </w:rPr>
              <w:t xml:space="preserve"> DE FORMACIÓN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60E258D3" w14:textId="77777777" w:rsidR="00F65D16" w:rsidRDefault="00ED7146">
            <w:pPr>
              <w:spacing w:line="240" w:lineRule="au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CF03</w:t>
            </w:r>
          </w:p>
        </w:tc>
      </w:tr>
      <w:tr w:rsidR="00F65D16" w14:paraId="08F1F6DC" w14:textId="77777777">
        <w:trPr>
          <w:trHeight w:val="2115"/>
        </w:trPr>
        <w:tc>
          <w:tcPr>
            <w:tcW w:w="2948" w:type="dxa"/>
            <w:shd w:val="clear" w:color="auto" w:fill="FAC896"/>
            <w:vAlign w:val="center"/>
          </w:tcPr>
          <w:p w14:paraId="6930CA1F" w14:textId="77777777" w:rsidR="00F65D16" w:rsidRDefault="00ED714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INSTRUCCIONES PARA EL APRENDIZ</w:t>
            </w:r>
          </w:p>
        </w:tc>
        <w:tc>
          <w:tcPr>
            <w:tcW w:w="6266" w:type="dxa"/>
            <w:shd w:val="clear" w:color="auto" w:fill="auto"/>
            <w:vAlign w:val="center"/>
          </w:tcPr>
          <w:p w14:paraId="0FC6FFF9" w14:textId="797B9A72" w:rsidR="00F65D16" w:rsidRDefault="00ED7146">
            <w:p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Apreciado participante a continuación encontrará una actividad didáctica</w:t>
            </w:r>
            <w:r>
              <w:rPr>
                <w:b w:val="0"/>
                <w:sz w:val="20"/>
                <w:szCs w:val="20"/>
              </w:rPr>
              <w:t xml:space="preserve"> para afianzar los conceptos y aprendizajes del componente de formación.</w:t>
            </w:r>
          </w:p>
          <w:p w14:paraId="6056BED5" w14:textId="77777777" w:rsidR="00F65D16" w:rsidRDefault="00ED7146">
            <w:p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</w:p>
          <w:p w14:paraId="7AE3E73D" w14:textId="77777777" w:rsidR="00F65D16" w:rsidRDefault="00ED7146">
            <w:p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Esta es una actividad de preguntas de opción múltiple con única respuesta correcta.</w:t>
            </w:r>
          </w:p>
          <w:p w14:paraId="142B04A7" w14:textId="77777777" w:rsidR="00F65D16" w:rsidRDefault="00F65D16">
            <w:pPr>
              <w:spacing w:line="240" w:lineRule="auto"/>
              <w:jc w:val="both"/>
              <w:rPr>
                <w:b w:val="0"/>
                <w:sz w:val="20"/>
                <w:szCs w:val="20"/>
              </w:rPr>
            </w:pPr>
          </w:p>
          <w:p w14:paraId="515E26F3" w14:textId="77777777" w:rsidR="00F65D16" w:rsidRDefault="00ED7146">
            <w:p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Esta prueba se consider</w:t>
            </w:r>
            <w:r>
              <w:rPr>
                <w:b w:val="0"/>
                <w:sz w:val="20"/>
                <w:szCs w:val="20"/>
              </w:rPr>
              <w:t>a aprobada si contesta acertadamente el 80% las preguntas planteadas</w:t>
            </w:r>
          </w:p>
          <w:p w14:paraId="24091F88" w14:textId="77777777" w:rsidR="00F65D16" w:rsidRDefault="00F65D16">
            <w:pPr>
              <w:spacing w:line="240" w:lineRule="auto"/>
              <w:jc w:val="both"/>
              <w:rPr>
                <w:b w:val="0"/>
                <w:sz w:val="20"/>
                <w:szCs w:val="20"/>
              </w:rPr>
            </w:pPr>
          </w:p>
          <w:p w14:paraId="0D0B636D" w14:textId="77777777" w:rsidR="00F65D16" w:rsidRDefault="00ED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¡Adelante y mucho ánimo!</w:t>
            </w:r>
          </w:p>
        </w:tc>
      </w:tr>
    </w:tbl>
    <w:p w14:paraId="45981A7B" w14:textId="77777777" w:rsidR="00F65D16" w:rsidRDefault="00F65D16">
      <w:pPr>
        <w:rPr>
          <w:sz w:val="20"/>
          <w:szCs w:val="20"/>
        </w:rPr>
      </w:pPr>
    </w:p>
    <w:p w14:paraId="773CC23D" w14:textId="77777777" w:rsidR="00F65D16" w:rsidRDefault="00F65D1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720"/>
        <w:jc w:val="center"/>
        <w:rPr>
          <w:b/>
          <w:color w:val="000000"/>
          <w:sz w:val="20"/>
          <w:szCs w:val="20"/>
        </w:rPr>
      </w:pPr>
    </w:p>
    <w:p w14:paraId="70F48B07" w14:textId="15E0EED1" w:rsidR="00F65D16" w:rsidRDefault="00ED714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72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Formulación de preguntas</w:t>
      </w:r>
    </w:p>
    <w:p w14:paraId="708688E5" w14:textId="77777777" w:rsidR="00F65D16" w:rsidRDefault="00F65D16">
      <w:pPr>
        <w:rPr>
          <w:sz w:val="20"/>
          <w:szCs w:val="20"/>
        </w:rPr>
      </w:pPr>
    </w:p>
    <w:p w14:paraId="743EB50C" w14:textId="7777777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1. El concepto de exhibición hace referencia a:</w:t>
      </w:r>
    </w:p>
    <w:p w14:paraId="24B470F1" w14:textId="713694E0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Compra de productos y servicios</w:t>
      </w:r>
    </w:p>
    <w:p w14:paraId="395D9076" w14:textId="55FA441E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La adquisición a través de un contrato comercial</w:t>
      </w:r>
    </w:p>
    <w:p w14:paraId="557BE093" w14:textId="7D141EB8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c. La selección, ubicación y exposición de artículos en el punto de venta</w:t>
      </w:r>
      <w:r>
        <w:rPr>
          <w:sz w:val="20"/>
          <w:szCs w:val="20"/>
        </w:rPr>
        <w:t xml:space="preserve"> </w:t>
      </w:r>
    </w:p>
    <w:p w14:paraId="0C633BDA" w14:textId="07EB614C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d. La oferta y degustación de productos</w:t>
      </w:r>
    </w:p>
    <w:p w14:paraId="55FBC281" w14:textId="77777777" w:rsidR="00F65D16" w:rsidRDefault="00F65D16">
      <w:pPr>
        <w:rPr>
          <w:sz w:val="20"/>
          <w:szCs w:val="20"/>
        </w:rPr>
      </w:pPr>
    </w:p>
    <w:p w14:paraId="3661C46D" w14:textId="7777777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2. Sin importar el tipo de exhibición que se elija, el propósito de esta es:</w:t>
      </w:r>
    </w:p>
    <w:p w14:paraId="5FB96336" w14:textId="6C005C2D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Decor</w:t>
      </w:r>
      <w:r>
        <w:rPr>
          <w:sz w:val="20"/>
          <w:szCs w:val="20"/>
        </w:rPr>
        <w:t>ar el almacén de forma estética</w:t>
      </w:r>
    </w:p>
    <w:p w14:paraId="661FF1BF" w14:textId="64DD13B2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Aprovechar los espacios para mayor iluminación del local</w:t>
      </w:r>
    </w:p>
    <w:p w14:paraId="728A1223" w14:textId="10497C7E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c. Motivar la acción de compra</w:t>
      </w:r>
      <w:r>
        <w:rPr>
          <w:sz w:val="20"/>
          <w:szCs w:val="20"/>
        </w:rPr>
        <w:t xml:space="preserve"> </w:t>
      </w:r>
    </w:p>
    <w:p w14:paraId="35E6BC2E" w14:textId="6E39A5AB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d. La oferta de productos</w:t>
      </w:r>
    </w:p>
    <w:p w14:paraId="6FCE071A" w14:textId="77777777" w:rsidR="00F65D16" w:rsidRDefault="00F65D16">
      <w:pPr>
        <w:rPr>
          <w:sz w:val="20"/>
          <w:szCs w:val="20"/>
        </w:rPr>
      </w:pPr>
    </w:p>
    <w:p w14:paraId="4DF35AD8" w14:textId="34957E4B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F72E91">
        <w:rPr>
          <w:sz w:val="20"/>
          <w:szCs w:val="20"/>
        </w:rPr>
        <w:t>¿</w:t>
      </w:r>
      <w:r>
        <w:rPr>
          <w:sz w:val="20"/>
          <w:szCs w:val="20"/>
        </w:rPr>
        <w:t>Cuál de los siguientes no es un tipo de exhibición</w:t>
      </w:r>
      <w:r w:rsidR="00F72E91">
        <w:rPr>
          <w:sz w:val="20"/>
          <w:szCs w:val="20"/>
        </w:rPr>
        <w:t>?</w:t>
      </w:r>
    </w:p>
    <w:p w14:paraId="0BF0E79D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a. Exhibición folclórica</w:t>
      </w:r>
    </w:p>
    <w:p w14:paraId="33F22F07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Exhibición vertical</w:t>
      </w:r>
    </w:p>
    <w:p w14:paraId="6D02F3D6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c. Exhibición horizontal</w:t>
      </w:r>
    </w:p>
    <w:p w14:paraId="25513FD8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d. Exhibición por bloques</w:t>
      </w:r>
    </w:p>
    <w:p w14:paraId="390B18E9" w14:textId="77777777" w:rsidR="00F65D16" w:rsidRDefault="00F65D16">
      <w:pPr>
        <w:ind w:left="708"/>
        <w:rPr>
          <w:sz w:val="20"/>
          <w:szCs w:val="20"/>
        </w:rPr>
      </w:pPr>
    </w:p>
    <w:p w14:paraId="79C77B82" w14:textId="7777777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4. El tipo de venta que representa menores costos para la empresa es:</w:t>
      </w:r>
    </w:p>
    <w:p w14:paraId="74DA1466" w14:textId="661ACFBF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La venta económica</w:t>
      </w:r>
    </w:p>
    <w:p w14:paraId="6D4D75BA" w14:textId="2DA0BDAF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La venta personal</w:t>
      </w:r>
    </w:p>
    <w:p w14:paraId="4FAA5755" w14:textId="0A99C09D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c. La venta telefónica</w:t>
      </w:r>
    </w:p>
    <w:p w14:paraId="54E52DF8" w14:textId="477EF8F0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d. La venta en canales digitales</w:t>
      </w:r>
    </w:p>
    <w:p w14:paraId="772177FB" w14:textId="77777777" w:rsidR="00F65D16" w:rsidRDefault="00F65D16">
      <w:pPr>
        <w:rPr>
          <w:sz w:val="20"/>
          <w:szCs w:val="20"/>
        </w:rPr>
      </w:pPr>
    </w:p>
    <w:p w14:paraId="5A04BFCF" w14:textId="7777777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5. Las ventas en las cuales la relación comercial se orienta en la venta al consum</w:t>
      </w:r>
      <w:r>
        <w:rPr>
          <w:sz w:val="20"/>
          <w:szCs w:val="20"/>
        </w:rPr>
        <w:t>idor final se denominan:</w:t>
      </w:r>
    </w:p>
    <w:p w14:paraId="033F4A22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B2B</w:t>
      </w:r>
    </w:p>
    <w:p w14:paraId="2E0BBD57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b. B2C</w:t>
      </w:r>
    </w:p>
    <w:p w14:paraId="136B74EC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c. B2G</w:t>
      </w:r>
    </w:p>
    <w:p w14:paraId="1C7142B3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d. B2E</w:t>
      </w:r>
    </w:p>
    <w:p w14:paraId="40189303" w14:textId="77777777" w:rsidR="00F65D16" w:rsidRDefault="00F65D16">
      <w:pPr>
        <w:rPr>
          <w:sz w:val="20"/>
          <w:szCs w:val="20"/>
        </w:rPr>
      </w:pPr>
    </w:p>
    <w:p w14:paraId="09CCA698" w14:textId="2270450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6. El ciclo de la venta</w:t>
      </w:r>
      <w:r>
        <w:rPr>
          <w:sz w:val="20"/>
          <w:szCs w:val="20"/>
        </w:rPr>
        <w:t xml:space="preserve"> representa en orden secuencial</w:t>
      </w:r>
      <w:r>
        <w:rPr>
          <w:sz w:val="20"/>
          <w:szCs w:val="20"/>
        </w:rPr>
        <w:t xml:space="preserve"> los siguientes momentos:</w:t>
      </w:r>
    </w:p>
    <w:p w14:paraId="0B1FDA28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a. Preventa, venta, posventa</w:t>
      </w:r>
    </w:p>
    <w:p w14:paraId="6000E834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Venta, posventa, preventa</w:t>
      </w:r>
    </w:p>
    <w:p w14:paraId="1DD8EB29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c. Posventa, venta, preventa</w:t>
      </w:r>
    </w:p>
    <w:p w14:paraId="25C23653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d. Venta, preventa, posventa</w:t>
      </w:r>
    </w:p>
    <w:p w14:paraId="26AACAFF" w14:textId="77777777" w:rsidR="00F65D16" w:rsidRDefault="00F65D16">
      <w:pPr>
        <w:rPr>
          <w:sz w:val="20"/>
          <w:szCs w:val="20"/>
        </w:rPr>
      </w:pPr>
    </w:p>
    <w:p w14:paraId="013A5F00" w14:textId="4814E3E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7. En una empresa</w:t>
      </w:r>
      <w:r>
        <w:rPr>
          <w:sz w:val="20"/>
          <w:szCs w:val="20"/>
        </w:rPr>
        <w:t xml:space="preserve"> el proceso responsable de generar las estrategias para la venta del producto se conoce como:</w:t>
      </w:r>
    </w:p>
    <w:p w14:paraId="375B259E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Ventas</w:t>
      </w:r>
    </w:p>
    <w:p w14:paraId="3EBEF518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Contabilidad</w:t>
      </w:r>
    </w:p>
    <w:p w14:paraId="3ECD5EBA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c. Recurso humano</w:t>
      </w:r>
    </w:p>
    <w:p w14:paraId="67B7EA92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d. Mercadeo</w:t>
      </w:r>
    </w:p>
    <w:p w14:paraId="15AEDD8D" w14:textId="77777777" w:rsidR="00F65D16" w:rsidRDefault="00F65D16">
      <w:pPr>
        <w:rPr>
          <w:sz w:val="20"/>
          <w:szCs w:val="20"/>
        </w:rPr>
      </w:pPr>
    </w:p>
    <w:p w14:paraId="70761D05" w14:textId="6477DDE5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8. Las ventas en las cuales la relación comercial se orienta en la venta a otras empres</w:t>
      </w:r>
      <w:r>
        <w:rPr>
          <w:sz w:val="20"/>
          <w:szCs w:val="20"/>
        </w:rPr>
        <w:t>as</w:t>
      </w:r>
      <w:r>
        <w:rPr>
          <w:sz w:val="20"/>
          <w:szCs w:val="20"/>
        </w:rPr>
        <w:t xml:space="preserve"> se denominan:</w:t>
      </w:r>
    </w:p>
    <w:p w14:paraId="7E444EDC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a. B2B</w:t>
      </w:r>
    </w:p>
    <w:p w14:paraId="1D924C7A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B2C</w:t>
      </w:r>
    </w:p>
    <w:p w14:paraId="108CB638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c. B2G</w:t>
      </w:r>
    </w:p>
    <w:p w14:paraId="01374A47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d. B2E</w:t>
      </w:r>
    </w:p>
    <w:p w14:paraId="412947A8" w14:textId="77777777" w:rsidR="00F65D16" w:rsidRDefault="00F65D16">
      <w:pPr>
        <w:rPr>
          <w:sz w:val="20"/>
          <w:szCs w:val="20"/>
        </w:rPr>
      </w:pPr>
    </w:p>
    <w:p w14:paraId="67AEC4E8" w14:textId="7777777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9. La posventa es considerada como:</w:t>
      </w:r>
    </w:p>
    <w:p w14:paraId="36C4EB86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La oportunidad de fidelizar al cliente</w:t>
      </w:r>
    </w:p>
    <w:p w14:paraId="3B8C3518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El momento en el que se le ofrece el producto al cliente</w:t>
      </w:r>
    </w:p>
    <w:p w14:paraId="0CDDA327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c. El momento previo a la venta</w:t>
      </w:r>
    </w:p>
    <w:p w14:paraId="2DC8C2F2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d. La última etapa del proceso comercia</w:t>
      </w:r>
      <w:r>
        <w:rPr>
          <w:sz w:val="20"/>
          <w:szCs w:val="20"/>
          <w:highlight w:val="yellow"/>
        </w:rPr>
        <w:t>l</w:t>
      </w:r>
      <w:r>
        <w:rPr>
          <w:sz w:val="20"/>
          <w:szCs w:val="20"/>
        </w:rPr>
        <w:t xml:space="preserve"> </w:t>
      </w:r>
    </w:p>
    <w:p w14:paraId="09EB8519" w14:textId="77777777" w:rsidR="00F65D16" w:rsidRDefault="00F65D16">
      <w:pPr>
        <w:rPr>
          <w:sz w:val="20"/>
          <w:szCs w:val="20"/>
        </w:rPr>
      </w:pPr>
    </w:p>
    <w:p w14:paraId="2B5DD8FD" w14:textId="7777777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10. El protocolo en la venta es:</w:t>
      </w:r>
    </w:p>
    <w:p w14:paraId="4A5A31A2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Documento que todos los funcionarios deben aplicar</w:t>
      </w:r>
    </w:p>
    <w:p w14:paraId="012EF7E3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b. Guía en la que se especifica el paso a paso para ofrecer un producto o servicio</w:t>
      </w:r>
    </w:p>
    <w:p w14:paraId="01E85F63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c. Reglamento de la empresa </w:t>
      </w:r>
    </w:p>
    <w:p w14:paraId="4AA01AFA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d. Documento donde aparece toda la información de la </w:t>
      </w:r>
      <w:r>
        <w:rPr>
          <w:sz w:val="20"/>
          <w:szCs w:val="20"/>
        </w:rPr>
        <w:t>empresa</w:t>
      </w:r>
    </w:p>
    <w:p w14:paraId="7B37CF21" w14:textId="77777777" w:rsidR="00F65D16" w:rsidRDefault="00F65D16">
      <w:pPr>
        <w:rPr>
          <w:sz w:val="20"/>
          <w:szCs w:val="20"/>
        </w:rPr>
      </w:pPr>
    </w:p>
    <w:p w14:paraId="27122292" w14:textId="7777777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11. Un vendedor tiene habilidades en ventas cuando:</w:t>
      </w:r>
    </w:p>
    <w:p w14:paraId="7DC4FEFF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Gana el primer puesto como vendedor del mes</w:t>
      </w:r>
    </w:p>
    <w:p w14:paraId="0977732D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b. Es capaz de relacionarse, mantiene un sano optimismo, ama lo que hace, es creativo</w:t>
      </w:r>
    </w:p>
    <w:p w14:paraId="468A469C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c. Convence a los clientes de hacer la compra</w:t>
      </w:r>
    </w:p>
    <w:p w14:paraId="41C3B087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d. Cumple con el plan de ventas y tiene una buena ruta de trabajo</w:t>
      </w:r>
    </w:p>
    <w:p w14:paraId="0B580D6D" w14:textId="77777777" w:rsidR="00F65D16" w:rsidRDefault="00F65D16">
      <w:pPr>
        <w:ind w:left="708"/>
        <w:rPr>
          <w:sz w:val="20"/>
          <w:szCs w:val="20"/>
        </w:rPr>
      </w:pPr>
    </w:p>
    <w:p w14:paraId="4C07D508" w14:textId="7777777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12. La preventa es considerada como:</w:t>
      </w:r>
    </w:p>
    <w:p w14:paraId="638463DA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a. La oportunidad de fidelizar al cliente</w:t>
      </w:r>
    </w:p>
    <w:p w14:paraId="68F79B21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>b. El momento en el que se le ofrece el producto al cliente</w:t>
      </w:r>
    </w:p>
    <w:p w14:paraId="7E072145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  <w:highlight w:val="yellow"/>
        </w:rPr>
        <w:t>c. El momento previo a la venta</w:t>
      </w:r>
    </w:p>
    <w:p w14:paraId="72943D90" w14:textId="77777777" w:rsidR="00F65D16" w:rsidRDefault="00ED7146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d. La última etapa del proceso comercial </w:t>
      </w:r>
    </w:p>
    <w:p w14:paraId="3C0AB3ED" w14:textId="77777777" w:rsidR="00F65D16" w:rsidRDefault="00F65D16">
      <w:pPr>
        <w:rPr>
          <w:b/>
          <w:sz w:val="20"/>
          <w:szCs w:val="20"/>
        </w:rPr>
      </w:pPr>
    </w:p>
    <w:p w14:paraId="01A55342" w14:textId="77777777" w:rsidR="00F65D16" w:rsidRDefault="00F65D16">
      <w:pPr>
        <w:rPr>
          <w:b/>
          <w:sz w:val="20"/>
          <w:szCs w:val="20"/>
        </w:rPr>
      </w:pPr>
    </w:p>
    <w:p w14:paraId="3E77BB61" w14:textId="77777777" w:rsidR="00F65D16" w:rsidRDefault="00ED7146">
      <w:pPr>
        <w:rPr>
          <w:b/>
          <w:sz w:val="20"/>
          <w:szCs w:val="20"/>
        </w:rPr>
      </w:pPr>
      <w:r>
        <w:rPr>
          <w:b/>
          <w:sz w:val="20"/>
          <w:szCs w:val="20"/>
        </w:rPr>
        <w:t>Correcto:</w:t>
      </w:r>
    </w:p>
    <w:p w14:paraId="125C5F1E" w14:textId="7ADFF7C3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Ha</w:t>
      </w:r>
      <w:r>
        <w:rPr>
          <w:sz w:val="20"/>
          <w:szCs w:val="20"/>
        </w:rPr>
        <w:t xml:space="preserve"> relacionado correctamente cada uno de los conceptos con su respectiva respuesta</w:t>
      </w:r>
      <w:r w:rsidR="008719CE">
        <w:rPr>
          <w:sz w:val="20"/>
          <w:szCs w:val="20"/>
        </w:rPr>
        <w:t>.</w:t>
      </w:r>
      <w:r>
        <w:rPr>
          <w:sz w:val="20"/>
          <w:szCs w:val="20"/>
        </w:rPr>
        <w:t xml:space="preserve"> ¡Felicitaciones!, esto da cuenta de la comprensión de algunos conceptos clave</w:t>
      </w:r>
      <w:r>
        <w:rPr>
          <w:sz w:val="20"/>
          <w:szCs w:val="20"/>
        </w:rPr>
        <w:t xml:space="preserve"> del co</w:t>
      </w:r>
      <w:r>
        <w:rPr>
          <w:sz w:val="20"/>
          <w:szCs w:val="20"/>
        </w:rPr>
        <w:t>mponente formativo. ¡Sigue adelante con el mismo empeño!</w:t>
      </w:r>
    </w:p>
    <w:p w14:paraId="7CB9CFE5" w14:textId="77777777" w:rsidR="00F65D16" w:rsidRDefault="00F65D16">
      <w:pPr>
        <w:rPr>
          <w:sz w:val="20"/>
          <w:szCs w:val="20"/>
        </w:rPr>
      </w:pPr>
    </w:p>
    <w:p w14:paraId="7F6987C3" w14:textId="77777777" w:rsidR="00F65D16" w:rsidRDefault="00ED7146">
      <w:pPr>
        <w:rPr>
          <w:b/>
          <w:sz w:val="20"/>
          <w:szCs w:val="20"/>
        </w:rPr>
      </w:pPr>
      <w:r>
        <w:rPr>
          <w:b/>
          <w:sz w:val="20"/>
          <w:szCs w:val="20"/>
        </w:rPr>
        <w:t>Incorrecto:</w:t>
      </w:r>
    </w:p>
    <w:p w14:paraId="0E8A428C" w14:textId="5996AE37" w:rsidR="00F65D16" w:rsidRDefault="00ED7146">
      <w:pPr>
        <w:rPr>
          <w:sz w:val="20"/>
          <w:szCs w:val="20"/>
        </w:rPr>
      </w:pPr>
      <w:r>
        <w:rPr>
          <w:sz w:val="20"/>
          <w:szCs w:val="20"/>
        </w:rPr>
        <w:t>Ha</w:t>
      </w:r>
      <w:r>
        <w:rPr>
          <w:sz w:val="20"/>
          <w:szCs w:val="20"/>
        </w:rPr>
        <w:t xml:space="preserve"> relacionado incorrectamente alguno de los conceptos con su respectiva </w:t>
      </w:r>
      <w:proofErr w:type="gramStart"/>
      <w:r>
        <w:rPr>
          <w:sz w:val="20"/>
          <w:szCs w:val="20"/>
        </w:rPr>
        <w:t>respuesta,  no</w:t>
      </w:r>
      <w:proofErr w:type="gramEnd"/>
      <w:r>
        <w:rPr>
          <w:sz w:val="20"/>
          <w:szCs w:val="20"/>
        </w:rPr>
        <w:t xml:space="preserve"> </w:t>
      </w:r>
      <w:r w:rsidR="00CB35CC">
        <w:rPr>
          <w:sz w:val="20"/>
          <w:szCs w:val="20"/>
        </w:rPr>
        <w:t>s</w:t>
      </w:r>
      <w:r>
        <w:rPr>
          <w:sz w:val="20"/>
          <w:szCs w:val="20"/>
        </w:rPr>
        <w:t>e desanime</w:t>
      </w:r>
      <w:r>
        <w:rPr>
          <w:sz w:val="20"/>
          <w:szCs w:val="20"/>
        </w:rPr>
        <w:t>,  revis</w:t>
      </w:r>
      <w:r w:rsidR="00CB35CC">
        <w:rPr>
          <w:sz w:val="20"/>
          <w:szCs w:val="20"/>
        </w:rPr>
        <w:t>e</w:t>
      </w:r>
      <w:r>
        <w:rPr>
          <w:sz w:val="20"/>
          <w:szCs w:val="20"/>
        </w:rPr>
        <w:t xml:space="preserve"> nuevamente el contenido del componente formativo y vuelv</w:t>
      </w:r>
      <w:r w:rsidR="00F32944">
        <w:rPr>
          <w:sz w:val="20"/>
          <w:szCs w:val="20"/>
        </w:rPr>
        <w:t>a</w:t>
      </w:r>
      <w:r>
        <w:rPr>
          <w:sz w:val="20"/>
          <w:szCs w:val="20"/>
        </w:rPr>
        <w:t xml:space="preserve"> a intentarlo. ¡Mu</w:t>
      </w:r>
      <w:r>
        <w:rPr>
          <w:sz w:val="20"/>
          <w:szCs w:val="20"/>
        </w:rPr>
        <w:t>cho ánimo!</w:t>
      </w:r>
    </w:p>
    <w:p w14:paraId="6927AE54" w14:textId="77777777" w:rsidR="00F65D16" w:rsidRDefault="00F65D16">
      <w:pPr>
        <w:jc w:val="both"/>
        <w:rPr>
          <w:sz w:val="20"/>
          <w:szCs w:val="20"/>
        </w:rPr>
      </w:pPr>
    </w:p>
    <w:p w14:paraId="3257B292" w14:textId="77777777" w:rsidR="00F65D16" w:rsidRDefault="00F65D16">
      <w:pPr>
        <w:rPr>
          <w:sz w:val="20"/>
          <w:szCs w:val="20"/>
        </w:rPr>
      </w:pPr>
    </w:p>
    <w:sectPr w:rsidR="00F65D16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0941" w14:textId="77777777" w:rsidR="00ED7146" w:rsidRDefault="00ED7146">
      <w:pPr>
        <w:spacing w:line="240" w:lineRule="auto"/>
      </w:pPr>
      <w:r>
        <w:separator/>
      </w:r>
    </w:p>
  </w:endnote>
  <w:endnote w:type="continuationSeparator" w:id="0">
    <w:p w14:paraId="064EBF5F" w14:textId="77777777" w:rsidR="00ED7146" w:rsidRDefault="00ED7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C153" w14:textId="77777777" w:rsidR="00ED7146" w:rsidRDefault="00ED7146">
      <w:pPr>
        <w:spacing w:line="240" w:lineRule="auto"/>
      </w:pPr>
      <w:r>
        <w:separator/>
      </w:r>
    </w:p>
  </w:footnote>
  <w:footnote w:type="continuationSeparator" w:id="0">
    <w:p w14:paraId="63A807BD" w14:textId="77777777" w:rsidR="00ED7146" w:rsidRDefault="00ED7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CC89A" w14:textId="77777777" w:rsidR="00F65D16" w:rsidRDefault="00ED714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AD66A4" wp14:editId="29476AC9">
          <wp:simplePos x="0" y="0"/>
          <wp:positionH relativeFrom="column">
            <wp:posOffset>100967</wp:posOffset>
          </wp:positionH>
          <wp:positionV relativeFrom="paragraph">
            <wp:posOffset>-173354</wp:posOffset>
          </wp:positionV>
          <wp:extent cx="790575" cy="704850"/>
          <wp:effectExtent l="0" t="0" r="0" b="0"/>
          <wp:wrapSquare wrapText="bothSides" distT="0" distB="0" distL="114300" distR="114300"/>
          <wp:docPr id="5" name="image1.png" descr="LogoSENA naran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 naran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389329" w14:textId="77777777" w:rsidR="00F65D16" w:rsidRDefault="00ED7146">
    <w:pPr>
      <w:tabs>
        <w:tab w:val="center" w:pos="4419"/>
        <w:tab w:val="right" w:pos="8838"/>
      </w:tabs>
      <w:ind w:left="2124"/>
      <w:jc w:val="center"/>
      <w:rPr>
        <w:b/>
        <w:color w:val="FC4B04"/>
        <w:sz w:val="24"/>
        <w:szCs w:val="24"/>
      </w:rPr>
    </w:pPr>
    <w:r>
      <w:rPr>
        <w:b/>
        <w:color w:val="FC4B04"/>
        <w:sz w:val="24"/>
        <w:szCs w:val="24"/>
      </w:rPr>
      <w:t>INSTRUMENTO DE EVALUACIÓN CUESTIONARIO</w:t>
    </w:r>
  </w:p>
  <w:p w14:paraId="5B727637" w14:textId="77777777" w:rsidR="00F65D16" w:rsidRDefault="00F65D16">
    <w:pPr>
      <w:tabs>
        <w:tab w:val="center" w:pos="4419"/>
        <w:tab w:val="right" w:pos="8838"/>
      </w:tabs>
      <w:ind w:left="2124"/>
      <w:jc w:val="center"/>
      <w:rPr>
        <w:sz w:val="24"/>
        <w:szCs w:val="24"/>
      </w:rPr>
    </w:pPr>
  </w:p>
  <w:p w14:paraId="512E1297" w14:textId="77777777" w:rsidR="00F65D16" w:rsidRDefault="00F65D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D16"/>
    <w:rsid w:val="00291883"/>
    <w:rsid w:val="0036178E"/>
    <w:rsid w:val="0040026B"/>
    <w:rsid w:val="008719CE"/>
    <w:rsid w:val="008B22CD"/>
    <w:rsid w:val="00A37C91"/>
    <w:rsid w:val="00A67DF4"/>
    <w:rsid w:val="00B02758"/>
    <w:rsid w:val="00CB35CC"/>
    <w:rsid w:val="00E353BB"/>
    <w:rsid w:val="00E97FB1"/>
    <w:rsid w:val="00ED7146"/>
    <w:rsid w:val="00F32944"/>
    <w:rsid w:val="00F65D16"/>
    <w:rsid w:val="00F673C5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9F29"/>
  <w15:docId w15:val="{50B46D87-F0C7-4BEF-AEAC-AEB513E1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A2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9359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customStyle="1" w:styleId="5">
    <w:name w:val="5"/>
    <w:basedOn w:val="Tablanormal"/>
    <w:rsid w:val="00487DB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Encabezado">
    <w:name w:val="header"/>
    <w:basedOn w:val="Normal"/>
    <w:link w:val="EncabezadoCar"/>
    <w:uiPriority w:val="99"/>
    <w:unhideWhenUsed/>
    <w:rsid w:val="001C2A4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A48"/>
    <w:rPr>
      <w:rFonts w:ascii="Arial" w:eastAsia="Arial" w:hAnsi="Arial" w:cs="Arial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C2A4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A48"/>
    <w:rPr>
      <w:rFonts w:ascii="Arial" w:eastAsia="Arial" w:hAnsi="Arial" w:cs="Arial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DF2F8"/>
    </w:tcPr>
  </w:style>
  <w:style w:type="paragraph" w:styleId="Revisin">
    <w:name w:val="Revision"/>
    <w:hidden/>
    <w:uiPriority w:val="99"/>
    <w:semiHidden/>
    <w:rsid w:val="008B22CD"/>
    <w:pPr>
      <w:spacing w:line="240" w:lineRule="auto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1WOxf6HA3F6v8ivQ1YKjIWHhag==">AMUW2mVzRi7GP0EAVPsSi/HQeQ3LgH2zqAO5ov692/6MuDczlGa/huvSlAK521o0z/hgOWn0FzBADG0V1FLQPtdiK4NnciWe5wsvgK15jWFuCWwpuebnIIM=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 JARAMILLO ROJAS</dc:creator>
  <cp:lastModifiedBy>JULIA ISABEL ROBERTO</cp:lastModifiedBy>
  <cp:revision>3</cp:revision>
  <dcterms:created xsi:type="dcterms:W3CDTF">2022-06-20T02:36:00Z</dcterms:created>
  <dcterms:modified xsi:type="dcterms:W3CDTF">2022-06-20T02:36:00Z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2022-03-10T12:03:11Z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cc0bdf31-084e-4271-b9c7-c84a95a8903e</vt:lpwstr>
  </property>
  <property fmtid="{D5CDD505-2E9C-101B-9397-08002B2CF9AE}" pid="8" name="MSIP_Label_666bb131-2344-48ed-84db-fe1e84a9fae2_ContentBits">
    <vt:lpwstr>0</vt:lpwstr>
  </property>
</Properties>
</file>