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RESUMEN FORMATO PARA EL DESARROLLO DE COMPONENTE FORMATIVO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4"/>
        </w:tabs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CÓDIGOS Y NORMAS DE SOLDADURA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835"/>
        <w:gridCol w:w="2126"/>
        <w:gridCol w:w="3163"/>
        <w:tblGridChange w:id="0">
          <w:tblGrid>
            <w:gridCol w:w="1838"/>
            <w:gridCol w:w="2835"/>
            <w:gridCol w:w="2126"/>
            <w:gridCol w:w="316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COMPETENCIA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INSPECCIONAR PIEZAS, MATERIALES Y EQUIPOS CON LA TÉCNICA VISUAL DE ACUERDO CON NORMA APLICABLE. NIVEL 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RESULTADOS DE APRENDIZAJE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IDENTIFICAR  GENERALIDADES SOBRE LAS CONFORMIDADES DEL USO DE LOS CÓDIGOS PARA SOLDADURA SEGÚN PIEZAS Y ESTRUCTURAS A INSPECCIONAR.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COMPONENTE FORMATIVO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Definición del código a aplicar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BREVE 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componente formativo aborda la importancia de los códigos de soldadura en proyectos metálicos para garantizar seguridad, calidad y cumplimiento normativo. Describe su aplicación en estructuras, equipos sometidos a presión, tanques de almacenamiento y otros componentes. Incluye normativas clave como AWS y ASME, su relación contractual y requisitos técnicos. Además, ofrece glosario, bibliografía y créditos de elaboración.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PALABRAS CLAVE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Soldadura, códigos, estructuras, normativas, seguridad.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565"/>
        <w:tblGridChange w:id="0">
          <w:tblGrid>
            <w:gridCol w:w="3397"/>
            <w:gridCol w:w="656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ÁREA OCUPACIONAL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2 - CIENCIAS NATURALES, APLICADAS Y RELACIONADAS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IDIOMA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36c0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DE CONTENIDOS: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  <w:tab/>
        <w:t xml:space="preserve">Selección del código de soldadura según producto a fabricar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</w:t>
        <w:tab/>
        <w:t xml:space="preserve">Equipos sometidos a presión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</w:t>
        <w:tab/>
        <w:t xml:space="preserve">Estructuras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</w:t>
        <w:tab/>
        <w:t xml:space="preserve">Documentos normativos utilizados en Colombia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implementación de códigos de soldadura es esencial en proyectos metálicos, ya que garantizan la seguridad, calidad y funcionalidad de las estructuras y equipos. Estos códigos establecen los criterios necesarios para el diseño de uniones, el cálculo estructural y la inspección de soldaduras, asegurando un equilibrio entre requisitos técnicos y normativos.</w:t>
      </w:r>
    </w:p>
    <w:tbl>
      <w:tblPr>
        <w:tblStyle w:val="Table5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6"/>
        <w:gridCol w:w="7706"/>
        <w:tblGridChange w:id="0">
          <w:tblGrid>
            <w:gridCol w:w="2256"/>
            <w:gridCol w:w="7706"/>
          </w:tblGrid>
        </w:tblGridChange>
      </w:tblGrid>
      <w:tr>
        <w:trPr>
          <w:cantSplit w:val="0"/>
          <w:tblHeader w:val="0"/>
        </w:trPr>
        <w:tc>
          <w:tcPr>
            <w:shd w:fill="c7e2fa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98359" cy="937412"/>
                  <wp:effectExtent b="0" l="0" r="0" t="0"/>
                  <wp:docPr descr="Trabajador de soldadura" id="2014436592" name="image3.jpg"/>
                  <a:graphic>
                    <a:graphicData uri="http://schemas.openxmlformats.org/drawingml/2006/picture">
                      <pic:pic>
                        <pic:nvPicPr>
                          <pic:cNvPr descr="Trabajador de soldadura"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359" cy="937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7e2fa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Colombia, los códigos más utilizados provienen de organismos internacionales como AWS y ASME. Su aplicación es obligatoria al ser definidos como parte de los contratos, comprometiendo tanto a fabricantes como a interventores a cumplir estrictamente sus especificaciones. Esto permite proteger la integridad humana, patrimonial y ambiental.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selección y cumplimiento de un código adecuado depende del tipo de proyecto y sus necesidades específicas. Desde estructuras estáticas hasta equipos sometidos a presión, los estándares proporcionan directrices claras para procesos de diseño, fabricación y soldadura, optimizando resultados y previniendo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DESARROLLO DE CONTENIDOS: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Selección del código de soldadura según producto a fabricar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selección del código de soldadura requerido tiene como referencia el tipo de estructura metálica a soldar. Este proceso asegura la calidad de la soldadura aplicada según las exigencias y requerimientos del producto elaborado, equilibrando las especificaciones de servicio y los estándares aplicados.</w:t>
      </w:r>
    </w:p>
    <w:tbl>
      <w:tblPr>
        <w:tblStyle w:val="Table6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cantSplit w:val="0"/>
          <w:tblHeader w:val="0"/>
        </w:trPr>
        <w:tc>
          <w:tcPr>
            <w:shd w:fill="7cca62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CF03_1_Selección del código de soldadura según producto a fabricar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proyecto soldado requiere un documento normativo que lo rige, convirtiéndose en un requisito obligatorio.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Equipos sometidos a presión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sometidos a presión son recipientes que contienen fluidos con presiones internas superiores a la atmosférica, lo que implica riesgos importantes, como explosiones. Estos equipos deben fabricarse según normas específicas que aseguren la seguridad y funcionalidad.</w:t>
      </w:r>
    </w:p>
    <w:tbl>
      <w:tblPr>
        <w:tblStyle w:val="Table7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cantSplit w:val="0"/>
          <w:tblHeader w:val="0"/>
        </w:trPr>
        <w:tc>
          <w:tcPr>
            <w:shd w:fill="7cca62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SLIDE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CF03_1.1_Equipos sometidos a presión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Tanques de almacenamiento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tanques de almacenamiento son recipientes diseñados para contener líquidos o gases de manera segura. Pueden fabricarse con diferentes capacidades y para diversos usos.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332220" cy="1628775"/>
                <wp:effectExtent b="0" l="0" r="0" t="0"/>
                <wp:docPr id="20144365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1628775"/>
                          <a:chOff x="0" y="0"/>
                          <a:chExt cx="6332200" cy="16287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32200" cy="1628775"/>
                            <a:chOff x="0" y="0"/>
                            <a:chExt cx="6332200" cy="1628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32200" cy="1628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0853" y="0"/>
                              <a:ext cx="1016839" cy="588157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0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645" y="628628"/>
                              <a:ext cx="2905254" cy="252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6645" y="628628"/>
                              <a:ext cx="2905254" cy="252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Petróleo y derivados	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645" y="899520"/>
                              <a:ext cx="2905254" cy="729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6645" y="899520"/>
                              <a:ext cx="2905254" cy="729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Recipientes cilíndricos empleados en refinerías para almacenamiento temporal o prolongado de petróleo y sus derivados, con capacidades de hasta 500.000 barriles.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364527" y="0"/>
                              <a:ext cx="1016839" cy="588157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11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420319" y="628628"/>
                              <a:ext cx="2905254" cy="252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3420319" y="628628"/>
                              <a:ext cx="2905254" cy="252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Agua	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420319" y="899520"/>
                              <a:ext cx="2905254" cy="729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3420319" y="899520"/>
                              <a:ext cx="2905254" cy="7292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Tanques cerrados para agua potable, fabricados bajo estándares estrictos para evitar contaminación. Sus capacidades comienzan desde los 5.000 galones.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32220" cy="1628775"/>
                <wp:effectExtent b="0" l="0" r="0" t="0"/>
                <wp:docPr id="201443659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1628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Estructuras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estructuras metálicas son sistemas diseñados para transmitir esfuerzos a través de pilares, vigas o columnas. Estas pueden clasificarse según sus materiales o aplicaciones específicas.</w:t>
      </w:r>
    </w:p>
    <w:tbl>
      <w:tblPr>
        <w:tblStyle w:val="Table8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cantSplit w:val="0"/>
          <w:tblHeader w:val="0"/>
        </w:trPr>
        <w:tc>
          <w:tcPr>
            <w:shd w:fill="7cca62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PESTAÑAS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CF03_1.2_Estructuras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Códigos aplicables al diseño y a la soldadura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diseño y la soldadura son procesos esenciales en la fabricación de productos metálicos. Ambos se rigen por normativas específicas que aseguran su seguridad, funcionalidad y economía.</w:t>
      </w:r>
    </w:p>
    <w:tbl>
      <w:tblPr>
        <w:tblStyle w:val="Table9"/>
        <w:tblW w:w="9967.0" w:type="dxa"/>
        <w:jc w:val="left"/>
        <w:tblInd w:w="5.0" w:type="dxa"/>
        <w:tblLayout w:type="fixed"/>
        <w:tblLook w:val="0400"/>
      </w:tblPr>
      <w:tblGrid>
        <w:gridCol w:w="3427"/>
        <w:gridCol w:w="6540"/>
        <w:tblGridChange w:id="0">
          <w:tblGrid>
            <w:gridCol w:w="3427"/>
            <w:gridCol w:w="6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75196" cy="1443569"/>
                  <wp:effectExtent b="0" l="0" r="0" t="0"/>
                  <wp:docPr descr="Un hombre con un casco de soldadura trabajando en la soldadura por arco Fabricación de metales" id="2014436594" name="image6.jpg"/>
                  <a:graphic>
                    <a:graphicData uri="http://schemas.openxmlformats.org/drawingml/2006/picture">
                      <pic:pic>
                        <pic:nvPicPr>
                          <pic:cNvPr descr="Un hombre con un casco de soldadura trabajando en la soldadura por arco Fabricación de metales" id="0" name="image6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196" cy="14435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4090348" cy="1405255"/>
                      <wp:effectExtent b="0" l="0" r="0" t="0"/>
                      <wp:docPr id="201443659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0348" cy="1405255"/>
                                <a:chOff x="0" y="0"/>
                                <a:chExt cx="4103050" cy="14052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90348" cy="1405250"/>
                                  <a:chOff x="0" y="0"/>
                                  <a:chExt cx="4090348" cy="14052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90325" cy="1405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67047"/>
                                    <a:ext cx="4090348" cy="287819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5" name="Shape 5"/>
                                <wps:spPr>
                                  <a:xfrm>
                                    <a:off x="14050" y="81097"/>
                                    <a:ext cx="4062248" cy="2597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Diseño	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45700" spcFirstLastPara="1" rIns="45700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354867"/>
                                    <a:ext cx="4090348" cy="40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" name="Shape 7"/>
                                <wps:spPr>
                                  <a:xfrm>
                                    <a:off x="0" y="354867"/>
                                    <a:ext cx="4090348" cy="40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90" w:right="0" w:firstLine="9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Determina las cargas máximas que puede soportar una estructura metálica soldada bajo condiciones normales, utilizando ecuaciones matemáticas que modelan su comportamiento.</w:t>
                                      </w:r>
                                    </w:p>
                                  </w:txbxContent>
                                </wps:txbx>
                                <wps:bodyPr anchorCtr="0" anchor="t" bIns="15225" lIns="129850" spcFirstLastPara="1" rIns="85325" wrap="square" tIns="152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764727"/>
                                    <a:ext cx="4090348" cy="287819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A4C148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9" name="Shape 9"/>
                                <wps:spPr>
                                  <a:xfrm>
                                    <a:off x="14050" y="778777"/>
                                    <a:ext cx="4062248" cy="2597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Soldadura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45700" spcFirstLastPara="1" rIns="45700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1052547"/>
                                    <a:ext cx="4090348" cy="285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1" name="Shape 11"/>
                                <wps:spPr>
                                  <a:xfrm>
                                    <a:off x="0" y="1052547"/>
                                    <a:ext cx="4090348" cy="285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90" w:right="0" w:firstLine="9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8"/>
                                          <w:vertAlign w:val="baseline"/>
                                        </w:rPr>
                                        <w:t xml:space="preserve">Define los procedimientos, calificaciones y parámetros para garantizar la calidad y seguridad de las uniones soldadas según lo establecido en los códigos normativos.</w:t>
                                      </w:r>
                                    </w:p>
                                  </w:txbxContent>
                                </wps:txbx>
                                <wps:bodyPr anchorCtr="0" anchor="t" bIns="15225" lIns="129850" spcFirstLastPara="1" rIns="85325" wrap="square" tIns="152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090348" cy="1405255"/>
                      <wp:effectExtent b="0" l="0" r="0" t="0"/>
                      <wp:docPr id="201443659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0348" cy="14052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Documentos normativos utilizados en Colombia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Colombia, se emplean normativas internacionales para regular los procesos de diseño y soldadura en estructuras metálicas. A continuación, se presentan los principales documentos:</w:t>
      </w:r>
    </w:p>
    <w:tbl>
      <w:tblPr>
        <w:tblStyle w:val="Table10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62"/>
        <w:tblGridChange w:id="0">
          <w:tblGrid>
            <w:gridCol w:w="9962"/>
          </w:tblGrid>
        </w:tblGridChange>
      </w:tblGrid>
      <w:tr>
        <w:trPr>
          <w:cantSplit w:val="0"/>
          <w:tblHeader w:val="0"/>
        </w:trPr>
        <w:tc>
          <w:tcPr>
            <w:shd w:fill="7cca6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ACORDEÓN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CF03_1.3_Documentos normativos utilizados en Colombia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SÍNTESIS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 continuación, se presenta una síntesis de la temática estudiada en el componente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formativo.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/>
        <w:drawing>
          <wp:inline distB="0" distT="0" distL="0" distR="0">
            <wp:extent cx="4046498" cy="2838450"/>
            <wp:effectExtent b="0" l="0" r="0" t="0"/>
            <wp:docPr id="20144365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14873" r="212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498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a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8a5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ACTIVIDADES DIDÁCTICAS (Se debe incorporar mínimo 1, máximo 2)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b0dfa0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Actividad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Normas y estructuras metálicas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 de la actividad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 los códigos de soldadura, tipos de estructuras metálicas, equipos sometidos a presión, tanques de almacenamiento y normativas aplicadas en Colombia.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actividad sugerida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CUESTIONARIO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(Anexo donde se describe la actividad propuesta)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99999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CF03_Actividad didactica 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 COMPLEMENTARIO: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7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7"/>
        <w:gridCol w:w="2517"/>
        <w:gridCol w:w="2519"/>
        <w:gridCol w:w="2519"/>
        <w:tblGridChange w:id="0">
          <w:tblGrid>
            <w:gridCol w:w="2517"/>
            <w:gridCol w:w="2517"/>
            <w:gridCol w:w="2519"/>
            <w:gridCol w:w="2519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shd w:fill="b0df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  <w:tc>
          <w:tcPr>
            <w:shd w:fill="b0df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 APA del Material</w:t>
            </w:r>
          </w:p>
        </w:tc>
        <w:tc>
          <w:tcPr>
            <w:shd w:fill="b0df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material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(Video, capítulo de libro, artículo, otro)</w:t>
            </w:r>
          </w:p>
        </w:tc>
        <w:tc>
          <w:tcPr>
            <w:shd w:fill="b0dfa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Enlace del Recurso 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del documento o material</w:t>
            </w:r>
          </w:p>
        </w:tc>
      </w:tr>
      <w:tr>
        <w:trPr>
          <w:cantSplit w:val="0"/>
          <w:trHeight w:val="1727.3876953125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Selección del código de soldadura según producto a fabricar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INGEDEMY. (2024). AWS D1.5: CÓDIGO DE SOLDADURA PARA PUENTES. [Archivo de video] Youtube. 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4910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https://www.youtube.com/watch?v=6bM7Tbmds94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Equipos sometidos a presión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RH. (2020). ¿Qué es un recipiente sujeto a presión?. [Archivo de video] Youtube. 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Video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4910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https://www.youtube.com/watch?v=1wdrR-Zfq18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Estructuras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Ingeniero Del Acero. (2020). Diseño de elementos a tensión  área neta, bloque de cortante, fluencia y ruptura.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[Archivo de video] Youtube. 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Video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f4910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https://www.youtube.com/watch?v=zRi8XBbqUDY&amp;list=PLDngK8m7_4cnL3kfC4U8T2v4Vijwh1QLf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normativos utilizados en Colombia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 (2005). Evaluación y Control.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 1 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GLOSARIO: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7840"/>
        <w:tblGridChange w:id="0">
          <w:tblGrid>
            <w:gridCol w:w="2122"/>
            <w:gridCol w:w="7840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shd w:fill="b0dfa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shd w:fill="b0dfa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SIGNIFICADO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Acero: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aleación de hierro con pequeñas cantidades de carbono, diseñada para procesos de soldadura.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Calderas: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equipos para generar vapor o transferir calor a un fluido, regulados por normas específicas.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Consumibles: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materiales usados en soldadura, como electrodos y gases, que se integran al proceso.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Fluencia: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fenómeno metalúrgico entre deformaciones elásticas y plásticas, caracterizado por alta deformación.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Intercambiador: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que transfiere calor entre dos medios separados o en contacto.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Mandatorio: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 que debe realizarse según procedimientos establecidos sin excepciones.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Materiales base: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acero u otro metal que será soldado en el proceso.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Puente grúa: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estructura usada en fábricas para izar y desplazar cargas pesadas de forma segura y eficiente.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Tanques: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recipientes de almacenamiento de líquidos o gases, diseñados para evitar degradación ambiental.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Tuberías: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conductos diseñados para transportar fluidos, como gas o petróleo, bajo estándares técnicos.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 BIBLIOGRÁFICAS: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Petroleum Institute. (2015).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API 1104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491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http://es.scribd.com/doc/98471009/Norma-API-1104-Traducida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Welding Society. (2013).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 para la certificación de inspectores de soldaduras de la AWS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491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https://www.aws.org/library/doclib/QC1-2007-Spanish.pdf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Sociedad Americana de Ingenieros Mecánicos. (2015).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ASME Sección IX - Soldadura: Desarrollo y calificación de procedimientos y soldadores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491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https://drive.google.com/file/d/0Bzx8Vj6lHfXaX0dEZzJveFNyS00/edit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Solano Montaña, E. (2007).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WPS ASME - Calificación y procedimiento de platina y tubería según ASME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f491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http://metalurgia-metalurgia.blogspot.com.co/2007/08/wps-asme.html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DEL DOCUMENTO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991"/>
        <w:gridCol w:w="1559"/>
        <w:gridCol w:w="3257"/>
        <w:gridCol w:w="1888"/>
        <w:tblGridChange w:id="0">
          <w:tblGrid>
            <w:gridCol w:w="1272"/>
            <w:gridCol w:w="1991"/>
            <w:gridCol w:w="1559"/>
            <w:gridCol w:w="3257"/>
            <w:gridCol w:w="18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959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(Para el SENA indicar Regional y Centro de Formación)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0dfa0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shd w:fill="e4f4d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 (es)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Hivo Alfonso Patarroyo Pulido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Experto temático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Regional Distrito Capital - Centro de Materiales y Ensayos. 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shd w:fill="e4f4d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Paola Alexandra Moya 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Evaluadora instruccional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Regional Antioquia - Centro de Servicios de Salud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e4f4d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A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Olga Constanza Bermúdez Jaimes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Responsable Línea de Producción Antioquia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Regional Antioquia - Centro de Servicios de Salud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4" w:right="0" w:hanging="28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CONTROL DE CAMBIOS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(Diligenciar únicamente si realiza ajustes a la Unidad Temática)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4"/>
        <w:gridCol w:w="2138"/>
        <w:gridCol w:w="1701"/>
        <w:gridCol w:w="1843"/>
        <w:gridCol w:w="1044"/>
        <w:gridCol w:w="1977"/>
        <w:tblGridChange w:id="0">
          <w:tblGrid>
            <w:gridCol w:w="1264"/>
            <w:gridCol w:w="2138"/>
            <w:gridCol w:w="1701"/>
            <w:gridCol w:w="1843"/>
            <w:gridCol w:w="1044"/>
            <w:gridCol w:w="19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 (es)</w:t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4f4d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22" w:type="default"/>
      <w:footerReference r:id="rId23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aola Moya" w:id="1" w:date="2024-12-03T11:21:00Z"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https://www.freepik.es/imagen-ia-premium/hombre-casco-soldadura-trabajando-soldadura-arco-fabricacion-metales_185528810.htm#fromView=search&amp;page=1&amp;position=18&amp;uuid=09da9ca5-7705-44a7-99fb-2d462a57b337</w:t>
      </w:r>
    </w:p>
  </w:comment>
  <w:comment w:author="Paola Moya" w:id="3" w:date="2024-12-03T11:08:00Z"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código a aplicar según proyecto a realizar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Equipos sometidos a presión</w:t>
        <w:br w:type="textWrapping"/>
        <w:t xml:space="preserve">Tales como: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Recipientes a presión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Intercambiadores de calor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Tuberías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Barcos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Tanques de almacenamiento</w:t>
        <w:br w:type="textWrapping"/>
        <w:t xml:space="preserve">Para: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Petróleo y sus derivados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Recipientes a presión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Estructuras</w:t>
        <w:br w:type="textWrapping"/>
        <w:t xml:space="preserve">Tales como: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estático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aluminio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láminas de acero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acero de refuerzo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puentes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puente grúa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Códigos aplicables</w:t>
        <w:br w:type="textWrapping"/>
        <w:t xml:space="preserve">Al diseño y a la soldadura.</w:t>
        <w:br w:type="textWrapping"/>
        <w:t xml:space="preserve">Considerando: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diseño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soldadura</w:t>
      </w:r>
    </w:p>
  </w:comment>
  <w:comment w:author="Paola Moya" w:id="4" w:date="2024-12-03T11:10:00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alternativo: La síntesis representa la definición del código a aplicar según el proyecto a realizar, considerando aspectos como la selección del código en función del producto a fabricar, los equipos sometidos a presión (calderas, recipientes a presión, intercambiadores de calor, tuberías y barcos), los tanques de almacenamiento destinados a petróleo, derivados y recipientes a presión. Además, incluye estructuras tales como tipos estáticos, materiales de aluminio, láminas de acero, acero de refuerzo y estructuras en puentes y grúas.</w:t>
      </w:r>
    </w:p>
  </w:comment>
  <w:comment w:author="MOYA PERALTA PAOLA ALEXANDRA" w:id="2" w:date="2023-08-09T16:04:00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la síntesis</w:t>
      </w:r>
    </w:p>
  </w:comment>
  <w:comment w:author="Paola Moya" w:id="0" w:date="2024-12-03T12:01:00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https://www.freepik.es/fotos-premium/trabajador-soldadura_4014478.htm#fromView=search&amp;page=1&amp;position=28&amp;uuid=09da9ca5-7705-44a7-99fb-2d462a57b337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CF" w15:done="0"/>
  <w15:commentEx w15:paraId="000000E5" w15:done="0"/>
  <w15:commentEx w15:paraId="000000E6" w15:paraIdParent="000000E5" w15:done="0"/>
  <w15:commentEx w15:paraId="000000E7" w15:done="0"/>
  <w15:commentEx w15:paraId="000000E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0255"/>
      </w:tabs>
      <w:spacing w:after="120" w:before="12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-2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0255"/>
      </w:tabs>
      <w:spacing w:after="120" w:before="12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0255"/>
      </w:tabs>
      <w:spacing w:after="120" w:before="120" w:line="240" w:lineRule="auto"/>
      <w:ind w:left="0" w:right="0" w:firstLine="0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56187" cy="543792"/>
          <wp:effectExtent b="0" l="0" r="0" t="0"/>
          <wp:docPr descr="Servicio Nacional de Aprendizaje | SENA" id="2014436595" name="image2.png"/>
          <a:graphic>
            <a:graphicData uri="http://schemas.openxmlformats.org/drawingml/2006/picture">
              <pic:pic>
                <pic:nvPicPr>
                  <pic:cNvPr descr="Servicio Nacional de Aprendizaje | SE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6187" cy="5437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E12B70"/>
    <w:pPr>
      <w:spacing w:line="240" w:lineRule="auto"/>
    </w:pPr>
    <w:rPr>
      <w:bCs w:val="1"/>
      <w:sz w:val="20"/>
      <w:szCs w:val="20"/>
    </w:rPr>
  </w:style>
  <w:style w:type="paragraph" w:styleId="Heading1">
    <w:name w:val="heading 1"/>
    <w:basedOn w:val="Normal"/>
    <w:next w:val="Normal"/>
    <w:uiPriority w:val="9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pPr>
      <w:keepNext w:val="1"/>
      <w:keepLines w:val="1"/>
      <w:spacing w:after="60"/>
    </w:pPr>
    <w:rPr>
      <w:sz w:val="52"/>
      <w:szCs w:val="52"/>
    </w:rPr>
  </w:style>
  <w:style w:type="paragraph" w:styleId="Normal0" w:customStyle="1">
    <w:name w:val="Normal0"/>
    <w:qFormat w:val="1"/>
    <w:rsid w:val="00464D69"/>
    <w:pPr>
      <w:spacing w:after="120" w:before="120"/>
    </w:pPr>
    <w:rPr>
      <w:sz w:val="20"/>
    </w:rPr>
  </w:style>
  <w:style w:type="paragraph" w:styleId="heading10" w:customStyle="1">
    <w:name w:val="heading 10"/>
    <w:basedOn w:val="Normal0"/>
    <w:next w:val="Normal0"/>
    <w:uiPriority w:val="9"/>
    <w:pPr>
      <w:keepNext w:val="1"/>
      <w:keepLines w:val="1"/>
      <w:spacing w:before="40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before="36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table" w:styleId="NormalTable0" w:customStyle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1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0" w:customStyle="1">
    <w:name w:val="Title0"/>
    <w:basedOn w:val="Normal0"/>
    <w:next w:val="Normal0"/>
    <w:uiPriority w:val="10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0"/>
    <w:next w:val="Normal0"/>
    <w:uiPriority w:val="1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NormalTable0"/>
    <w:uiPriority w:val="39"/>
    <w:rsid w:val="0040006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0"/>
    <w:link w:val="HeaderCh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0"/>
    <w:link w:val="FooterChar"/>
    <w:uiPriority w:val="99"/>
    <w:unhideWhenUsed w:val="1"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0"/>
    <w:uiPriority w:val="99"/>
    <w:semiHidden w:val="1"/>
    <w:unhideWhenUsed w:val="1"/>
    <w:rsid w:val="00745E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Listavistosa-nfasis1Car" w:customStyle="1">
    <w:name w:val="Lista vistosa - Énfasis 1 Car"/>
    <w:link w:val="ColorfulList-Accent1"/>
    <w:uiPriority w:val="34"/>
    <w:rsid w:val="0005659E"/>
    <w:rPr>
      <w:rFonts w:ascii="Arial" w:hAnsi="Arial"/>
      <w:b w:val="1"/>
      <w:sz w:val="24"/>
      <w:szCs w:val="24"/>
      <w:lang w:eastAsia="es-ES"/>
    </w:rPr>
  </w:style>
  <w:style w:type="table" w:styleId="ColorfulList-Accent1">
    <w:name w:val="Colorful List Accent 1"/>
    <w:basedOn w:val="NormalTable0"/>
    <w:link w:val="Listavistosa-nfasis1Car"/>
    <w:uiPriority w:val="34"/>
    <w:semiHidden w:val="1"/>
    <w:unhideWhenUsed w:val="1"/>
    <w:rsid w:val="0005659E"/>
    <w:pPr>
      <w:spacing w:line="240" w:lineRule="auto"/>
    </w:pPr>
    <w:rPr>
      <w:b w:val="1"/>
      <w:sz w:val="24"/>
      <w:szCs w:val="24"/>
      <w:lang w:eastAsia="es-ES"/>
    </w:rPr>
    <w:tblPr>
      <w:tblStyleRowBandSize w:val="1"/>
      <w:tblStyleColBandSize w:val="1"/>
    </w:tblPr>
    <w:tcPr>
      <w:shd w:color="auto" w:fill="e3f0fd" w:themeFill="accent1" w:themeFillTint="000019" w:val="clear"/>
    </w:tcPr>
    <w:tblStylePr w:type="firstRow">
      <w:tblPr/>
      <w:tcPr>
        <w:tcBorders>
          <w:bottom w:color="ffffff" w:space="0" w:sz="12" w:themeColor="background1" w:val="single"/>
        </w:tcBorders>
        <w:shd w:color="auto" w:fill="007dad" w:themeFill="accent2" w:themeFillShade="0000CC" w:val="clear"/>
      </w:tcPr>
    </w:tblStylePr>
    <w:tblStylePr w:type="lastRow"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dbf9" w:themeFill="accent1" w:themeFillTint="00003F" w:val="clear"/>
      </w:tcPr>
    </w:tblStylePr>
    <w:tblStylePr w:type="band1Horz">
      <w:tblPr/>
      <w:tcPr>
        <w:shd w:color="auto" w:fill="c7e2fa" w:themeFill="accent1" w:themeFillTint="000033" w:val="clear"/>
      </w:tcPr>
    </w:tblStylePr>
  </w:style>
  <w:style w:type="paragraph" w:styleId="ListParagraph">
    <w:name w:val="List Paragraph"/>
    <w:basedOn w:val="Normal0"/>
    <w:uiPriority w:val="34"/>
    <w:rsid w:val="0005659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65E01"/>
    <w:rPr>
      <w:color w:val="f49100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E65E0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B7F80"/>
    <w:rPr>
      <w:color w:val="85dfd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 w:val="1"/>
    <w:unhideWhenUsed w:val="1"/>
    <w:rsid w:val="00476490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76490"/>
    <w:rPr>
      <w:rFonts w:ascii="Times New Roman" w:cs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26CB3"/>
    <w:rPr>
      <w:sz w:val="16"/>
      <w:szCs w:val="16"/>
    </w:rPr>
  </w:style>
  <w:style w:type="paragraph" w:styleId="CommentText">
    <w:name w:val="annotation text"/>
    <w:basedOn w:val="Normal0"/>
    <w:link w:val="CommentTextChar"/>
    <w:uiPriority w:val="99"/>
    <w:unhideWhenUsed w:val="1"/>
    <w:rsid w:val="00726C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26CB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26CB3"/>
    <w:rPr>
      <w:b w:val="1"/>
      <w:bCs w:val="1"/>
      <w:sz w:val="20"/>
      <w:szCs w:val="20"/>
    </w:rPr>
  </w:style>
  <w:style w:type="table" w:styleId="a2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3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4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5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6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c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d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e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0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1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2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3" w:customStyle="1">
    <w:basedOn w:val="TableNormal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C4702"/>
    <w:rPr>
      <w:color w:val="605e5c"/>
      <w:shd w:color="auto" w:fill="e1dfdd" w:val="clear"/>
    </w:rPr>
  </w:style>
  <w:style w:type="paragraph" w:styleId="Subtitle0" w:customStyle="1">
    <w:name w:val="Subtitle0"/>
    <w:basedOn w:val="Normal0"/>
    <w:next w:val="Normal0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f4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5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6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7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8" w:customStyle="1">
    <w:basedOn w:val="NormalTable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NormalTable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b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c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d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table" w:styleId="afe" w:customStyle="1">
    <w:basedOn w:val="NormalTable1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edf2f8" w:val="clear"/>
    </w:tcPr>
  </w:style>
  <w:style w:type="paragraph" w:styleId="NoSpacing">
    <w:name w:val="No Spacing"/>
    <w:uiPriority w:val="1"/>
    <w:qFormat w:val="1"/>
    <w:rsid w:val="00464D69"/>
    <w:pPr>
      <w:spacing w:after="240" w:before="240" w:line="240" w:lineRule="auto"/>
    </w:pPr>
    <w:rPr>
      <w:bCs w:val="1"/>
      <w:sz w:val="20"/>
      <w:szCs w:val="20"/>
    </w:rPr>
  </w:style>
  <w:style w:type="table" w:styleId="TableGridLight">
    <w:name w:val="Grid Table Light"/>
    <w:basedOn w:val="TableNormal"/>
    <w:uiPriority w:val="40"/>
    <w:rsid w:val="002313A4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Emphasis">
    <w:name w:val="Emphasis"/>
    <w:basedOn w:val="DefaultParagraphFont"/>
    <w:uiPriority w:val="20"/>
    <w:qFormat w:val="1"/>
    <w:rsid w:val="00C3449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2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3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4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  <w:style w:type="table" w:styleId="Table15">
    <w:basedOn w:val="TableNormal"/>
    <w:pPr>
      <w:spacing w:line="240" w:lineRule="auto"/>
    </w:pPr>
    <w:rPr>
      <w:b w:val="1"/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df2f8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0Bzx8Vj6lHfXaX0dEZzJveFNyS00/edit" TargetMode="External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7.png"/><Relationship Id="rId21" Type="http://schemas.openxmlformats.org/officeDocument/2006/relationships/hyperlink" Target="http://metalurgia-metalurgia.blogspot.com.co/2007/08/wps-asme.html" TargetMode="External"/><Relationship Id="rId13" Type="http://schemas.openxmlformats.org/officeDocument/2006/relationships/image" Target="media/image6.jpg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15" Type="http://schemas.openxmlformats.org/officeDocument/2006/relationships/hyperlink" Target="https://www.youtube.com/watch?v=6bM7Tbmds94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youtube.com/watch?v=zRi8XBbqUDY&amp;list=PLDngK8m7_4cnL3kfC4U8T2v4Vijwh1QLf" TargetMode="External"/><Relationship Id="rId16" Type="http://schemas.openxmlformats.org/officeDocument/2006/relationships/hyperlink" Target="https://www.youtube.com/watch?v=1wdrR-Zfq18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aws.org/library/doclib/QC1-2007-Spanish.pdf" TargetMode="External"/><Relationship Id="rId6" Type="http://schemas.openxmlformats.org/officeDocument/2006/relationships/styles" Target="styles.xml"/><Relationship Id="rId18" Type="http://schemas.openxmlformats.org/officeDocument/2006/relationships/hyperlink" Target="http://es.scribd.com/doc/98471009/Norma-API-1104-Traducida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7WsadtcilvAybhaVYBVy5ADRdg==">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2023-03-31T16:40:00Z</dcterms:created>
  <dc:creator>Adriana Ariza Luque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