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FEC5D" w14:textId="77777777" w:rsidR="00CE7131" w:rsidRDefault="00CE7131">
      <w:pPr>
        <w:spacing w:line="240" w:lineRule="auto"/>
        <w:rPr>
          <w:b/>
        </w:rPr>
      </w:pPr>
    </w:p>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200"/>
        <w:gridCol w:w="4635"/>
      </w:tblGrid>
      <w:tr w:rsidR="00CE7131" w14:paraId="459DF34D" w14:textId="77777777">
        <w:trPr>
          <w:trHeight w:val="440"/>
        </w:trPr>
        <w:tc>
          <w:tcPr>
            <w:tcW w:w="14400" w:type="dxa"/>
            <w:gridSpan w:val="3"/>
            <w:shd w:val="clear" w:color="auto" w:fill="FCE5CD"/>
            <w:tcMar>
              <w:top w:w="100" w:type="dxa"/>
              <w:left w:w="100" w:type="dxa"/>
              <w:bottom w:w="100" w:type="dxa"/>
              <w:right w:w="100" w:type="dxa"/>
            </w:tcMar>
          </w:tcPr>
          <w:p w14:paraId="148B7897" w14:textId="77777777" w:rsidR="00CE7131" w:rsidRDefault="0042633A">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(Títulos)</w:t>
            </w:r>
          </w:p>
        </w:tc>
      </w:tr>
      <w:tr w:rsidR="00CE7131" w14:paraId="02F6FAEA" w14:textId="77777777">
        <w:tc>
          <w:tcPr>
            <w:tcW w:w="2565" w:type="dxa"/>
            <w:shd w:val="clear" w:color="auto" w:fill="FCE5CD"/>
            <w:tcMar>
              <w:top w:w="100" w:type="dxa"/>
              <w:left w:w="100" w:type="dxa"/>
              <w:bottom w:w="100" w:type="dxa"/>
              <w:right w:w="100" w:type="dxa"/>
            </w:tcMar>
          </w:tcPr>
          <w:p w14:paraId="578B9E86" w14:textId="77777777" w:rsidR="00CE7131" w:rsidRDefault="0042633A">
            <w:pPr>
              <w:widowControl w:val="0"/>
              <w:spacing w:line="240" w:lineRule="auto"/>
              <w:rPr>
                <w:b/>
                <w:sz w:val="20"/>
                <w:szCs w:val="20"/>
              </w:rPr>
            </w:pPr>
            <w:r>
              <w:rPr>
                <w:b/>
                <w:sz w:val="20"/>
                <w:szCs w:val="20"/>
              </w:rPr>
              <w:t>Indicaciones</w:t>
            </w:r>
          </w:p>
        </w:tc>
        <w:tc>
          <w:tcPr>
            <w:tcW w:w="11835" w:type="dxa"/>
            <w:gridSpan w:val="2"/>
            <w:shd w:val="clear" w:color="auto" w:fill="FCE5CD"/>
            <w:tcMar>
              <w:top w:w="100" w:type="dxa"/>
              <w:left w:w="100" w:type="dxa"/>
              <w:bottom w:w="100" w:type="dxa"/>
              <w:right w:w="100" w:type="dxa"/>
            </w:tcMar>
          </w:tcPr>
          <w:p w14:paraId="224D5472" w14:textId="77777777" w:rsidR="00CE7131" w:rsidRDefault="0042633A">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0BAD641F" w14:textId="77777777" w:rsidR="00CE7131" w:rsidRDefault="0042633A">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14:paraId="15E6B069" w14:textId="77777777" w:rsidR="00CE7131" w:rsidRDefault="0042633A">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4E0A79FF" w14:textId="77777777" w:rsidR="00CE7131" w:rsidRDefault="0042633A">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42633A" w14:paraId="4BCD9165" w14:textId="77777777">
        <w:tc>
          <w:tcPr>
            <w:tcW w:w="2565" w:type="dxa"/>
            <w:shd w:val="clear" w:color="auto" w:fill="FCE5CD"/>
            <w:tcMar>
              <w:top w:w="100" w:type="dxa"/>
              <w:left w:w="100" w:type="dxa"/>
              <w:bottom w:w="100" w:type="dxa"/>
              <w:right w:w="100" w:type="dxa"/>
            </w:tcMar>
          </w:tcPr>
          <w:p w14:paraId="58049D3A" w14:textId="77777777" w:rsidR="0042633A" w:rsidRDefault="0042633A" w:rsidP="0042633A">
            <w:pPr>
              <w:widowControl w:val="0"/>
              <w:spacing w:line="240" w:lineRule="auto"/>
              <w:rPr>
                <w:b/>
              </w:rPr>
            </w:pPr>
            <w:r>
              <w:rPr>
                <w:b/>
              </w:rPr>
              <w:t>Título</w:t>
            </w:r>
          </w:p>
        </w:tc>
        <w:tc>
          <w:tcPr>
            <w:tcW w:w="11835" w:type="dxa"/>
            <w:gridSpan w:val="2"/>
            <w:shd w:val="clear" w:color="auto" w:fill="auto"/>
            <w:tcMar>
              <w:top w:w="100" w:type="dxa"/>
              <w:left w:w="100" w:type="dxa"/>
              <w:bottom w:w="100" w:type="dxa"/>
              <w:right w:w="100" w:type="dxa"/>
            </w:tcMar>
          </w:tcPr>
          <w:p w14:paraId="44109915" w14:textId="660BF91B" w:rsidR="0042633A" w:rsidRPr="0042633A" w:rsidRDefault="0042633A" w:rsidP="0042633A">
            <w:pPr>
              <w:widowControl w:val="0"/>
              <w:spacing w:line="240" w:lineRule="auto"/>
              <w:rPr>
                <w:color w:val="434343"/>
                <w:sz w:val="20"/>
                <w:szCs w:val="20"/>
              </w:rPr>
            </w:pPr>
            <w:r w:rsidRPr="0042633A">
              <w:rPr>
                <w:b/>
                <w:bCs/>
              </w:rPr>
              <w:t>Con junta homocinética</w:t>
            </w:r>
          </w:p>
        </w:tc>
      </w:tr>
      <w:tr w:rsidR="0042633A" w14:paraId="64DE09A1" w14:textId="77777777">
        <w:tc>
          <w:tcPr>
            <w:tcW w:w="2565" w:type="dxa"/>
            <w:shd w:val="clear" w:color="auto" w:fill="FCE5CD"/>
            <w:tcMar>
              <w:top w:w="100" w:type="dxa"/>
              <w:left w:w="100" w:type="dxa"/>
              <w:bottom w:w="100" w:type="dxa"/>
              <w:right w:w="100" w:type="dxa"/>
            </w:tcMar>
          </w:tcPr>
          <w:p w14:paraId="284FB692" w14:textId="77777777" w:rsidR="0042633A" w:rsidRDefault="0042633A" w:rsidP="0042633A">
            <w:pPr>
              <w:widowControl w:val="0"/>
              <w:spacing w:line="240" w:lineRule="auto"/>
              <w:rPr>
                <w:b/>
                <w:sz w:val="20"/>
                <w:szCs w:val="20"/>
              </w:rPr>
            </w:pPr>
            <w:r>
              <w:rPr>
                <w:b/>
                <w:sz w:val="20"/>
                <w:szCs w:val="20"/>
              </w:rPr>
              <w:t>Texto descriptivo</w:t>
            </w:r>
          </w:p>
        </w:tc>
        <w:tc>
          <w:tcPr>
            <w:tcW w:w="11835" w:type="dxa"/>
            <w:gridSpan w:val="2"/>
            <w:shd w:val="clear" w:color="auto" w:fill="auto"/>
            <w:tcMar>
              <w:top w:w="100" w:type="dxa"/>
              <w:left w:w="100" w:type="dxa"/>
              <w:bottom w:w="100" w:type="dxa"/>
              <w:right w:w="100" w:type="dxa"/>
            </w:tcMar>
          </w:tcPr>
          <w:p w14:paraId="151BC194" w14:textId="7460716C" w:rsidR="0042633A" w:rsidRPr="0042633A" w:rsidRDefault="0042633A" w:rsidP="0042633A">
            <w:pPr>
              <w:widowControl w:val="0"/>
              <w:spacing w:line="240" w:lineRule="auto"/>
              <w:rPr>
                <w:color w:val="434343"/>
                <w:sz w:val="20"/>
                <w:szCs w:val="20"/>
              </w:rPr>
            </w:pPr>
            <w:r w:rsidRPr="0042633A">
              <w:t xml:space="preserve">El sistema homocinético permite una transmisión eficiente del movimiento mientras la rueda cambia de ángulo. Su diseño interno se basa en sectores ranurados dentro de la manzana externa, donde se desplazan las bolas de acero. Estas permanecen centradas gracias a una canastilla, que también las mantiene separadas y las guía en su recorrido. El funcionamiento del sistema homocinético es: </w:t>
            </w:r>
          </w:p>
        </w:tc>
      </w:tr>
      <w:tr w:rsidR="00CE7131" w14:paraId="711BB166" w14:textId="77777777">
        <w:trPr>
          <w:trHeight w:val="420"/>
        </w:trPr>
        <w:tc>
          <w:tcPr>
            <w:tcW w:w="2565" w:type="dxa"/>
            <w:shd w:val="clear" w:color="auto" w:fill="EFEFEF"/>
            <w:tcMar>
              <w:top w:w="100" w:type="dxa"/>
              <w:left w:w="100" w:type="dxa"/>
              <w:bottom w:w="100" w:type="dxa"/>
              <w:right w:w="100" w:type="dxa"/>
            </w:tcMar>
          </w:tcPr>
          <w:p w14:paraId="35244E8A" w14:textId="77777777" w:rsidR="00CE7131" w:rsidRDefault="0042633A">
            <w:pPr>
              <w:widowControl w:val="0"/>
              <w:spacing w:line="240" w:lineRule="auto"/>
              <w:jc w:val="center"/>
              <w:rPr>
                <w:b/>
                <w:sz w:val="24"/>
                <w:szCs w:val="24"/>
              </w:rPr>
            </w:pPr>
            <w:r>
              <w:rPr>
                <w:b/>
                <w:sz w:val="24"/>
                <w:szCs w:val="24"/>
              </w:rPr>
              <w:t xml:space="preserve">Título </w:t>
            </w:r>
          </w:p>
        </w:tc>
        <w:tc>
          <w:tcPr>
            <w:tcW w:w="7200" w:type="dxa"/>
            <w:shd w:val="clear" w:color="auto" w:fill="EFEFEF"/>
            <w:tcMar>
              <w:top w:w="100" w:type="dxa"/>
              <w:left w:w="100" w:type="dxa"/>
              <w:bottom w:w="100" w:type="dxa"/>
              <w:right w:w="100" w:type="dxa"/>
            </w:tcMar>
          </w:tcPr>
          <w:p w14:paraId="4CE5D0EF" w14:textId="77777777" w:rsidR="00CE7131" w:rsidRDefault="0042633A">
            <w:pPr>
              <w:widowControl w:val="0"/>
              <w:spacing w:line="240" w:lineRule="auto"/>
              <w:jc w:val="center"/>
              <w:rPr>
                <w:b/>
              </w:rPr>
            </w:pPr>
            <w:r>
              <w:rPr>
                <w:b/>
              </w:rPr>
              <w:t>Texto</w:t>
            </w:r>
          </w:p>
        </w:tc>
        <w:tc>
          <w:tcPr>
            <w:tcW w:w="4635" w:type="dxa"/>
            <w:shd w:val="clear" w:color="auto" w:fill="EFEFEF"/>
            <w:tcMar>
              <w:top w:w="100" w:type="dxa"/>
              <w:left w:w="100" w:type="dxa"/>
              <w:bottom w:w="100" w:type="dxa"/>
              <w:right w:w="100" w:type="dxa"/>
            </w:tcMar>
          </w:tcPr>
          <w:p w14:paraId="278D41A2" w14:textId="77777777" w:rsidR="00CE7131" w:rsidRDefault="0042633A">
            <w:pPr>
              <w:widowControl w:val="0"/>
              <w:jc w:val="center"/>
              <w:rPr>
                <w:b/>
              </w:rPr>
            </w:pPr>
            <w:r>
              <w:rPr>
                <w:b/>
              </w:rPr>
              <w:t>Imagen (obligatoria)</w:t>
            </w:r>
          </w:p>
        </w:tc>
      </w:tr>
      <w:tr w:rsidR="00176445" w14:paraId="6B20C7B7" w14:textId="77777777" w:rsidTr="008550AD">
        <w:trPr>
          <w:trHeight w:val="168"/>
        </w:trPr>
        <w:tc>
          <w:tcPr>
            <w:tcW w:w="2565" w:type="dxa"/>
            <w:shd w:val="clear" w:color="auto" w:fill="auto"/>
            <w:tcMar>
              <w:top w:w="100" w:type="dxa"/>
              <w:left w:w="100" w:type="dxa"/>
              <w:bottom w:w="100" w:type="dxa"/>
              <w:right w:w="100" w:type="dxa"/>
            </w:tcMar>
          </w:tcPr>
          <w:p w14:paraId="4E71962E" w14:textId="0ED96970" w:rsidR="00176445" w:rsidRDefault="00176445" w:rsidP="00176445">
            <w:pPr>
              <w:widowControl w:val="0"/>
              <w:spacing w:line="240" w:lineRule="auto"/>
              <w:rPr>
                <w:i/>
                <w:color w:val="434343"/>
              </w:rPr>
            </w:pPr>
            <w:r w:rsidRPr="004A77DF">
              <w:rPr>
                <w:b/>
                <w:bCs/>
              </w:rPr>
              <w:t>Conexión con la rueda motriz</w:t>
            </w:r>
          </w:p>
        </w:tc>
        <w:tc>
          <w:tcPr>
            <w:tcW w:w="7200" w:type="dxa"/>
            <w:shd w:val="clear" w:color="auto" w:fill="auto"/>
            <w:tcMar>
              <w:top w:w="100" w:type="dxa"/>
              <w:left w:w="100" w:type="dxa"/>
              <w:bottom w:w="100" w:type="dxa"/>
              <w:right w:w="100" w:type="dxa"/>
            </w:tcMar>
          </w:tcPr>
          <w:p w14:paraId="769B53ED" w14:textId="45AEB6AB" w:rsidR="00176445" w:rsidRDefault="00176445" w:rsidP="00176445">
            <w:pPr>
              <w:widowControl w:val="0"/>
              <w:spacing w:line="240" w:lineRule="auto"/>
              <w:rPr>
                <w:sz w:val="20"/>
                <w:szCs w:val="20"/>
              </w:rPr>
            </w:pPr>
            <w:r w:rsidRPr="004A77DF">
              <w:t xml:space="preserve">- El extremo del semieje con el sistema homocinético cuenta con un sector estriado. </w:t>
            </w:r>
            <w:r w:rsidRPr="004A77DF">
              <w:br/>
              <w:t>- Este sector ingresa en la manzana estriada de la rueda motriz, permitiendo que ambos giren en conjunto y transmitan el torque.</w:t>
            </w:r>
          </w:p>
        </w:tc>
        <w:tc>
          <w:tcPr>
            <w:tcW w:w="4635" w:type="dxa"/>
            <w:shd w:val="clear" w:color="auto" w:fill="auto"/>
            <w:tcMar>
              <w:top w:w="100" w:type="dxa"/>
              <w:left w:w="100" w:type="dxa"/>
              <w:bottom w:w="100" w:type="dxa"/>
              <w:right w:w="100" w:type="dxa"/>
            </w:tcMar>
          </w:tcPr>
          <w:p w14:paraId="5AA294D0" w14:textId="77777777" w:rsidR="00176445" w:rsidRDefault="00176445" w:rsidP="00176445">
            <w:pPr>
              <w:pStyle w:val="Normal0"/>
              <w:rPr>
                <w:lang w:val="es-MX"/>
              </w:rPr>
            </w:pPr>
            <w:r>
              <w:rPr>
                <w:noProof/>
              </w:rPr>
              <w:drawing>
                <wp:inline distT="0" distB="0" distL="0" distR="0" wp14:anchorId="20AB1B9E" wp14:editId="5F4F3AE3">
                  <wp:extent cx="2456906" cy="1634242"/>
                  <wp:effectExtent l="0" t="0" r="635" b="4445"/>
                  <wp:docPr id="973501482" name="Picture 17" descr="Auto mechanic rebuilding a CV Ax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uto mechanic rebuilding a CV Axl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2829" cy="1638182"/>
                          </a:xfrm>
                          <a:prstGeom prst="rect">
                            <a:avLst/>
                          </a:prstGeom>
                          <a:noFill/>
                          <a:ln>
                            <a:noFill/>
                          </a:ln>
                        </pic:spPr>
                      </pic:pic>
                    </a:graphicData>
                  </a:graphic>
                </wp:inline>
              </w:drawing>
            </w:r>
          </w:p>
          <w:p w14:paraId="77C2115B" w14:textId="2A33CF79" w:rsidR="00176445" w:rsidRDefault="00176445" w:rsidP="00176445">
            <w:pPr>
              <w:widowControl w:val="0"/>
              <w:spacing w:line="240" w:lineRule="auto"/>
              <w:rPr>
                <w:sz w:val="20"/>
                <w:szCs w:val="20"/>
              </w:rPr>
            </w:pPr>
            <w:hyperlink r:id="rId8" w:history="1">
              <w:r w:rsidRPr="00FF0F79">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1046316852</w:t>
              </w:r>
            </w:hyperlink>
            <w:r>
              <w:t xml:space="preserve"> </w:t>
            </w:r>
          </w:p>
        </w:tc>
      </w:tr>
      <w:tr w:rsidR="00176445" w14:paraId="76301E20" w14:textId="77777777">
        <w:trPr>
          <w:trHeight w:val="420"/>
        </w:trPr>
        <w:tc>
          <w:tcPr>
            <w:tcW w:w="2565" w:type="dxa"/>
            <w:shd w:val="clear" w:color="auto" w:fill="auto"/>
            <w:tcMar>
              <w:top w:w="100" w:type="dxa"/>
              <w:left w:w="100" w:type="dxa"/>
              <w:bottom w:w="100" w:type="dxa"/>
              <w:right w:w="100" w:type="dxa"/>
            </w:tcMar>
          </w:tcPr>
          <w:p w14:paraId="41FE40E4" w14:textId="7D930308" w:rsidR="00176445" w:rsidRDefault="00176445" w:rsidP="00176445">
            <w:pPr>
              <w:widowControl w:val="0"/>
              <w:spacing w:line="240" w:lineRule="auto"/>
            </w:pPr>
            <w:r w:rsidRPr="004A77DF">
              <w:rPr>
                <w:b/>
                <w:bCs/>
              </w:rPr>
              <w:t>Estructura interna</w:t>
            </w:r>
          </w:p>
        </w:tc>
        <w:tc>
          <w:tcPr>
            <w:tcW w:w="7200" w:type="dxa"/>
            <w:shd w:val="clear" w:color="auto" w:fill="auto"/>
            <w:tcMar>
              <w:top w:w="100" w:type="dxa"/>
              <w:left w:w="100" w:type="dxa"/>
              <w:bottom w:w="100" w:type="dxa"/>
              <w:right w:w="100" w:type="dxa"/>
            </w:tcMar>
          </w:tcPr>
          <w:p w14:paraId="39BC1C6D" w14:textId="0BE851AE" w:rsidR="00176445" w:rsidRDefault="00176445" w:rsidP="00176445">
            <w:pPr>
              <w:widowControl w:val="0"/>
              <w:spacing w:line="240" w:lineRule="auto"/>
              <w:rPr>
                <w:sz w:val="20"/>
                <w:szCs w:val="20"/>
              </w:rPr>
            </w:pPr>
            <w:r w:rsidRPr="004A77DF">
              <w:t xml:space="preserve">- En la manzana se encuentra la canastilla separadora, encargada de alojar y guiar las bolas de acero. </w:t>
            </w:r>
            <w:r w:rsidRPr="004A77DF">
              <w:br/>
              <w:t xml:space="preserve">- Dentro de la canastilla, se insertan las bolas de acero que permiten el desplazamiento. </w:t>
            </w:r>
            <w:r w:rsidRPr="004A77DF">
              <w:br/>
              <w:t>- En el centro, se ubica la manzana interior, que también posee un estriado en su interior para la inserción del semieje.</w:t>
            </w:r>
          </w:p>
        </w:tc>
        <w:tc>
          <w:tcPr>
            <w:tcW w:w="4635" w:type="dxa"/>
            <w:shd w:val="clear" w:color="auto" w:fill="auto"/>
            <w:tcMar>
              <w:top w:w="100" w:type="dxa"/>
              <w:left w:w="100" w:type="dxa"/>
              <w:bottom w:w="100" w:type="dxa"/>
              <w:right w:w="100" w:type="dxa"/>
            </w:tcMar>
          </w:tcPr>
          <w:p w14:paraId="6A9238C8" w14:textId="77777777" w:rsidR="00176445" w:rsidRDefault="00176445" w:rsidP="00176445">
            <w:pPr>
              <w:pStyle w:val="Normal0"/>
              <w:rPr>
                <w:lang w:val="es-MX"/>
              </w:rPr>
            </w:pPr>
            <w:r>
              <w:rPr>
                <w:noProof/>
              </w:rPr>
              <w:drawing>
                <wp:inline distT="0" distB="0" distL="0" distR="0" wp14:anchorId="3DCC32A0" wp14:editId="5DBF0BD3">
                  <wp:extent cx="2340529" cy="1556657"/>
                  <wp:effectExtent l="0" t="0" r="3175" b="5715"/>
                  <wp:docPr id="2008867107" name="Picture 18" descr="Car CV Axle rebuild and repair in garage shop ,rebuild and reboot an inner CV Ax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r CV Axle rebuild and repair in garage shop ,rebuild and reboot an inner CV Ax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2830" cy="1558187"/>
                          </a:xfrm>
                          <a:prstGeom prst="rect">
                            <a:avLst/>
                          </a:prstGeom>
                          <a:noFill/>
                          <a:ln>
                            <a:noFill/>
                          </a:ln>
                        </pic:spPr>
                      </pic:pic>
                    </a:graphicData>
                  </a:graphic>
                </wp:inline>
              </w:drawing>
            </w:r>
          </w:p>
          <w:p w14:paraId="6E776A26" w14:textId="06992FD2" w:rsidR="00176445" w:rsidRDefault="00176445" w:rsidP="00176445">
            <w:pPr>
              <w:widowControl w:val="0"/>
              <w:spacing w:line="240" w:lineRule="auto"/>
              <w:rPr>
                <w:sz w:val="20"/>
                <w:szCs w:val="20"/>
              </w:rPr>
            </w:pPr>
            <w:hyperlink r:id="rId10" w:history="1">
              <w:r w:rsidRPr="00FF0F79">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1046455685</w:t>
              </w:r>
            </w:hyperlink>
            <w:r>
              <w:t xml:space="preserve"> </w:t>
            </w:r>
          </w:p>
        </w:tc>
      </w:tr>
      <w:tr w:rsidR="00176445" w14:paraId="357718EC" w14:textId="77777777">
        <w:trPr>
          <w:trHeight w:val="420"/>
        </w:trPr>
        <w:tc>
          <w:tcPr>
            <w:tcW w:w="2565" w:type="dxa"/>
            <w:shd w:val="clear" w:color="auto" w:fill="auto"/>
            <w:tcMar>
              <w:top w:w="100" w:type="dxa"/>
              <w:left w:w="100" w:type="dxa"/>
              <w:bottom w:w="100" w:type="dxa"/>
              <w:right w:w="100" w:type="dxa"/>
            </w:tcMar>
          </w:tcPr>
          <w:p w14:paraId="4742F451" w14:textId="0535867B" w:rsidR="00176445" w:rsidRDefault="00176445" w:rsidP="00176445">
            <w:pPr>
              <w:widowControl w:val="0"/>
              <w:spacing w:line="240" w:lineRule="auto"/>
            </w:pPr>
            <w:r w:rsidRPr="004A77DF">
              <w:rPr>
                <w:b/>
                <w:bCs/>
              </w:rPr>
              <w:t>Aseguramiento del semieje</w:t>
            </w:r>
          </w:p>
        </w:tc>
        <w:tc>
          <w:tcPr>
            <w:tcW w:w="7200" w:type="dxa"/>
            <w:shd w:val="clear" w:color="auto" w:fill="auto"/>
            <w:tcMar>
              <w:top w:w="100" w:type="dxa"/>
              <w:left w:w="100" w:type="dxa"/>
              <w:bottom w:w="100" w:type="dxa"/>
              <w:right w:w="100" w:type="dxa"/>
            </w:tcMar>
          </w:tcPr>
          <w:p w14:paraId="15F8A4AE" w14:textId="7174D494" w:rsidR="00176445" w:rsidRDefault="00176445" w:rsidP="00176445">
            <w:pPr>
              <w:widowControl w:val="0"/>
              <w:spacing w:line="240" w:lineRule="auto"/>
              <w:rPr>
                <w:sz w:val="20"/>
                <w:szCs w:val="20"/>
              </w:rPr>
            </w:pPr>
            <w:r w:rsidRPr="004A77DF">
              <w:t xml:space="preserve">- El eje sólido avanza hasta el tope dentro de la manzana estriada. </w:t>
            </w:r>
            <w:r w:rsidRPr="004A77DF">
              <w:br/>
              <w:t>- Un seguro fija la posición del eje, evitando movimientos indeseados.</w:t>
            </w:r>
          </w:p>
        </w:tc>
        <w:tc>
          <w:tcPr>
            <w:tcW w:w="4635" w:type="dxa"/>
            <w:shd w:val="clear" w:color="auto" w:fill="auto"/>
            <w:tcMar>
              <w:top w:w="100" w:type="dxa"/>
              <w:left w:w="100" w:type="dxa"/>
              <w:bottom w:w="100" w:type="dxa"/>
              <w:right w:w="100" w:type="dxa"/>
            </w:tcMar>
          </w:tcPr>
          <w:p w14:paraId="2A0C1EF0" w14:textId="77777777" w:rsidR="00176445" w:rsidRDefault="00176445" w:rsidP="00176445">
            <w:pPr>
              <w:pStyle w:val="Normal0"/>
              <w:rPr>
                <w:lang w:val="es-MX"/>
              </w:rPr>
            </w:pPr>
            <w:r>
              <w:rPr>
                <w:noProof/>
              </w:rPr>
              <w:drawing>
                <wp:inline distT="0" distB="0" distL="0" distR="0" wp14:anchorId="1079B03D" wp14:editId="276ACBD5">
                  <wp:extent cx="2680970" cy="1626870"/>
                  <wp:effectExtent l="0" t="0" r="5080" b="0"/>
                  <wp:docPr id="1993459779" name="Picture 19" descr="Car spare part - wheel drive cv joint on white isolated background. Catalog of spare parts for ca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r spare part - wheel drive cv joint on white isolated background. Catalog of spare parts for car servi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0970" cy="1626870"/>
                          </a:xfrm>
                          <a:prstGeom prst="rect">
                            <a:avLst/>
                          </a:prstGeom>
                          <a:noFill/>
                          <a:ln>
                            <a:noFill/>
                          </a:ln>
                        </pic:spPr>
                      </pic:pic>
                    </a:graphicData>
                  </a:graphic>
                </wp:inline>
              </w:drawing>
            </w:r>
          </w:p>
          <w:p w14:paraId="4069C9FF" w14:textId="2E0BA9B1" w:rsidR="00176445" w:rsidRDefault="00176445" w:rsidP="00176445">
            <w:pPr>
              <w:widowControl w:val="0"/>
              <w:spacing w:line="240" w:lineRule="auto"/>
              <w:rPr>
                <w:sz w:val="20"/>
                <w:szCs w:val="20"/>
              </w:rPr>
            </w:pPr>
            <w:hyperlink r:id="rId12" w:history="1">
              <w:r w:rsidRPr="00FF0F79">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583976624</w:t>
              </w:r>
            </w:hyperlink>
            <w:r>
              <w:t xml:space="preserve"> </w:t>
            </w:r>
          </w:p>
        </w:tc>
      </w:tr>
    </w:tbl>
    <w:p w14:paraId="3503F50B" w14:textId="77777777" w:rsidR="00CE7131" w:rsidRDefault="00CE7131">
      <w:pPr>
        <w:spacing w:line="240" w:lineRule="auto"/>
        <w:rPr>
          <w:b/>
        </w:rPr>
      </w:pPr>
    </w:p>
    <w:sectPr w:rsidR="00CE7131">
      <w:headerReference w:type="default" r:id="rId13"/>
      <w:footerReference w:type="default" r:id="rId14"/>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021CF" w14:textId="77777777" w:rsidR="00D63755" w:rsidRDefault="00D63755">
      <w:pPr>
        <w:spacing w:line="240" w:lineRule="auto"/>
      </w:pPr>
      <w:r>
        <w:separator/>
      </w:r>
    </w:p>
  </w:endnote>
  <w:endnote w:type="continuationSeparator" w:id="0">
    <w:p w14:paraId="5AEA2573" w14:textId="77777777" w:rsidR="00D63755" w:rsidRDefault="00D637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embedRegular r:id="rId1" w:fontKey="{0FE02A0C-2A99-4657-B166-D512E217541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3F7B972-B1B3-44B1-BDB0-F575723FC3C6}"/>
  </w:font>
  <w:font w:name="Cambria">
    <w:panose1 w:val="02040503050406030204"/>
    <w:charset w:val="00"/>
    <w:family w:val="roman"/>
    <w:pitch w:val="variable"/>
    <w:sig w:usb0="E00006FF" w:usb1="420024FF" w:usb2="02000000" w:usb3="00000000" w:csb0="0000019F" w:csb1="00000000"/>
    <w:embedRegular r:id="rId3" w:fontKey="{60D3C1BC-6E40-4150-B8D9-C5134B8110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700C6" w14:textId="77777777" w:rsidR="00CE7131" w:rsidRDefault="00CE7131">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10EB4" w14:textId="77777777" w:rsidR="00D63755" w:rsidRDefault="00D63755">
      <w:pPr>
        <w:spacing w:line="240" w:lineRule="auto"/>
      </w:pPr>
      <w:r>
        <w:separator/>
      </w:r>
    </w:p>
  </w:footnote>
  <w:footnote w:type="continuationSeparator" w:id="0">
    <w:p w14:paraId="53028F74" w14:textId="77777777" w:rsidR="00D63755" w:rsidRDefault="00D637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5821" w14:textId="77777777" w:rsidR="00CE7131" w:rsidRDefault="0042633A">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7EB72C05" wp14:editId="5420B43A">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05AEEB04" wp14:editId="227AB90B">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5919A480" w14:textId="77777777" w:rsidR="00CE7131" w:rsidRDefault="0042633A">
                          <w:pPr>
                            <w:spacing w:line="240" w:lineRule="auto"/>
                            <w:textDirection w:val="btLr"/>
                          </w:pPr>
                          <w:r>
                            <w:rPr>
                              <w:b/>
                              <w:color w:val="000000"/>
                            </w:rPr>
                            <w:t xml:space="preserve">FORMATO DE DISEÑO INSTRUCCIONAL </w:t>
                          </w:r>
                        </w:p>
                        <w:p w14:paraId="47C8A39B" w14:textId="77777777" w:rsidR="00CE7131" w:rsidRDefault="0042633A">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5AEEB04" id="Rectangle 1" o:spid="_x0000_s1026" style="position:absolute;margin-left:1pt;margin-top:-8.4pt;width:459.75pt;height:111.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" filled="f" stroked="f">
              <v:textbox inset="2.53958mm,1.2694mm,2.53958mm,1.2694mm">
                <w:txbxContent>
                  <w:p w14:paraId="5919A480" w14:textId="77777777" w:rsidR="00CE7131" w:rsidRDefault="0042633A">
                    <w:pPr>
                      <w:spacing w:line="240" w:lineRule="auto"/>
                      <w:textDirection w:val="btLr"/>
                    </w:pPr>
                    <w:r>
                      <w:rPr>
                        <w:b/>
                        <w:color w:val="000000"/>
                      </w:rPr>
                      <w:t xml:space="preserve">FORMATO DE DISEÑO INSTRUCCIONAL </w:t>
                    </w:r>
                  </w:p>
                  <w:p w14:paraId="47C8A39B" w14:textId="77777777" w:rsidR="00CE7131" w:rsidRDefault="0042633A">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A10D4"/>
    <w:multiLevelType w:val="multilevel"/>
    <w:tmpl w:val="B1A23300"/>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2719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131"/>
    <w:rsid w:val="00176445"/>
    <w:rsid w:val="0042633A"/>
    <w:rsid w:val="007A6A11"/>
    <w:rsid w:val="008550AD"/>
    <w:rsid w:val="00A51A1C"/>
    <w:rsid w:val="00CE7131"/>
    <w:rsid w:val="00D637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A320"/>
  <w15:docId w15:val="{3430EFF6-6C49-4A4D-8AC1-80C9AD6E3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ormal0">
    <w:name w:val="Normal0"/>
    <w:qFormat/>
    <w:rsid w:val="00176445"/>
    <w:pPr>
      <w:spacing w:before="120" w:after="120"/>
    </w:pPr>
    <w:rPr>
      <w:sz w:val="20"/>
      <w:lang w:val="es-CO" w:eastAsia="ja-JP"/>
    </w:rPr>
  </w:style>
  <w:style w:type="character" w:styleId="Hyperlink">
    <w:name w:val="Hyperlink"/>
    <w:basedOn w:val="DefaultParagraphFont"/>
    <w:uiPriority w:val="99"/>
    <w:unhideWhenUsed/>
    <w:rsid w:val="001764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1046316852" TargetMode="External"/><Relationship Id="rId13" Type="http://schemas.openxmlformats.org/officeDocument/2006/relationships/header" Target="header1.xml"/><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583976624" TargetMode="External"/><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1046455685" TargetMode="External"/><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48A24EA-93B3-4E1C-B4CF-13854DFDADB9}"/>
</file>

<file path=customXml/itemProps2.xml><?xml version="1.0" encoding="utf-8"?>
<ds:datastoreItem xmlns:ds="http://schemas.openxmlformats.org/officeDocument/2006/customXml" ds:itemID="{87C75FC8-5CC0-464E-A7E8-BDE1B0070AEE}"/>
</file>

<file path=customXml/itemProps3.xml><?xml version="1.0" encoding="utf-8"?>
<ds:datastoreItem xmlns:ds="http://schemas.openxmlformats.org/officeDocument/2006/customXml" ds:itemID="{A81AC818-C5A7-496B-9FF7-B4A1B74B06BA}"/>
</file>

<file path=docProps/app.xml><?xml version="1.0" encoding="utf-8"?>
<Properties xmlns="http://schemas.openxmlformats.org/officeDocument/2006/extended-properties" xmlns:vt="http://schemas.openxmlformats.org/officeDocument/2006/docPropsVTypes">
  <Template>Normal.dotm</Template>
  <TotalTime>1</TotalTime>
  <Pages>3</Pages>
  <Words>656</Words>
  <Characters>3608</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Paola Moya</cp:lastModifiedBy>
  <cp:revision>4</cp:revision>
  <dcterms:created xsi:type="dcterms:W3CDTF">2024-10-30T00:34:00Z</dcterms:created>
  <dcterms:modified xsi:type="dcterms:W3CDTF">2025-02-26T20:45:00Z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