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tf" ContentType="application/x-font-ttf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4.0" w:type="dxa"/>
        <w:jc w:val="left"/>
        <w:tblInd w:w="-68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1267"/>
        <w:gridCol w:w="1267"/>
        <w:gridCol w:w="5445"/>
        <w:gridCol w:w="8"/>
        <w:gridCol w:w="7"/>
        <w:gridCol w:w="1035"/>
        <w:gridCol w:w="90"/>
        <w:gridCol w:w="15"/>
        <w:gridCol w:w="15"/>
        <w:gridCol w:w="120"/>
        <w:gridCol w:w="195"/>
        <w:gridCol w:w="90"/>
        <w:gridCol w:w="600"/>
        <w:tblGridChange w:id="0">
          <w:tblGrid>
            <w:gridCol w:w="1267"/>
            <w:gridCol w:w="1267"/>
            <w:gridCol w:w="5445"/>
            <w:gridCol w:w="8"/>
            <w:gridCol w:w="7"/>
            <w:gridCol w:w="1035"/>
            <w:gridCol w:w="90"/>
            <w:gridCol w:w="15"/>
            <w:gridCol w:w="15"/>
            <w:gridCol w:w="120"/>
            <w:gridCol w:w="195"/>
            <w:gridCol w:w="90"/>
            <w:gridCol w:w="600"/>
          </w:tblGrid>
        </w:tblGridChange>
      </w:tblGrid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287654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b="0" l="0" r="0" t="0"/>
                  <wp:wrapSquare wrapText="bothSides" distB="0" distT="0" distL="114300" distR="11430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  <w:color w:val="ed7d3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d7d31"/>
                <w:rtl w:val="0"/>
              </w:rPr>
              <w:t xml:space="preserve">ACTIVIDAD DIDÁCTICA CUESTIONARIO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3"/>
          </w:tcPr>
          <w:p w:rsidR="00000000" w:rsidDel="00000000" w:rsidP="00000000" w:rsidRDefault="00000000" w:rsidRPr="00000000" w14:paraId="00000012">
            <w:pPr>
              <w:spacing w:after="160" w:lineRule="auto"/>
              <w:rPr>
                <w:rFonts w:ascii="Calibri" w:cs="Calibri" w:eastAsia="Calibri" w:hAnsi="Calibri"/>
                <w:color w:val="595959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Generalidades de la actividad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Las indicaciones, el mensaje de correcto e incorrecto debe estar la redacción en segundo persona.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160" w:line="259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Diligenciar solo los espacios en blanco.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El aprendiz recibe una retroalimentación cuando responde de manera correcta o incorrecta cada pregunta.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Señale en la columna Rta. Correcta con una (x) de acuerdo con las opciones presentadas.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after="160" w:lineRule="auto"/>
              <w:ind w:left="1080" w:hanging="360"/>
              <w:rPr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Al final de la actividad se muestra una retroalimentación de felicitación si logra el 70% de respuestas correctas o retroalimentación de mejora si es inferior a este porcentaje.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1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595959"/>
                <w:sz w:val="20"/>
                <w:szCs w:val="20"/>
                <w:rtl w:val="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responsive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Instrucciones para el aprendiz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Esta actividad le permitirá determinar el grado de apropiación de los contenidos del componente formativo: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Mantenimiento del diferencial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i w:val="1"/>
                <w:color w:val="00000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Antes de su realización, se recomienda la lectura del componente formativo mencionado. Es opcional (no es calificable), y puede realizarse todas las veces que se desee.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Lea la pregunta de cada ítem y seleccione la respuesta correcta.</w:t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Nombre de la Actividad</w:t>
            </w:r>
          </w:p>
        </w:tc>
        <w:tc>
          <w:tcPr>
            <w:gridSpan w:val="11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Mantenimiento del diferencial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49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Objetivo de la actividad</w:t>
            </w:r>
          </w:p>
        </w:tc>
        <w:tc>
          <w:tcPr>
            <w:gridSpan w:val="11"/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Identificar  los procedimientos de diagnóstico, mantenimiento y reparación del diferencial.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e599" w:val="clea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PREGUNTAS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6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¿Cuál es una de las causas más comunes de falla en 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6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Rta(s) correcta(s) (x)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Uso de lubricante de alta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7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7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Desgaste natural de los componentes.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Falta de aire en los neumáticos.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8F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9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0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Conducción agresiva con arranques bruscos.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09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A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B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0B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2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se debe revisar antes de desmontar 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C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nivel y estado del aceite.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D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 presión de los neumáticos.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D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0E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E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La batería del vehículo.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EA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0F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estado del radiador.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0F7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0F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0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1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3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indica la presencia de limaduras en el aceite del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 el diferencial no necesita mantenimiento.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3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3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 el aceite es de buena calidad.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3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 hay fricción inadecuada y desgaste de componentes.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45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4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auto" w:val="clear"/>
          </w:tcPr>
          <w:p w:rsidR="00000000" w:rsidDel="00000000" w:rsidP="00000000" w:rsidRDefault="00000000" w:rsidRPr="00000000" w14:paraId="0000014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Que el aceite se cambió recientemente.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auto" w:val="clear"/>
          </w:tcPr>
          <w:p w:rsidR="00000000" w:rsidDel="00000000" w:rsidP="00000000" w:rsidRDefault="00000000" w:rsidRPr="00000000" w14:paraId="00000152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5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6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6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4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¿Cuál es la función principal del tubo espaciador en 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8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Mantener la holgura exacta de los rodamientos.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8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8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Aumentar la velocidad del vehículo.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9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9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9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Evitar el sobrecalentamiento del aceite.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A0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A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Ajustar la presión del engranaje de mando final.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AD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B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1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1C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5</w:t>
            </w:r>
          </w:p>
        </w:tc>
        <w:tc>
          <w:tcPr>
            <w:gridSpan w:val="2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1D1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se recomienda hacer al encontrar fugas de aceite en 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9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1D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D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D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Agregar más aceite sin revisar la fuga.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1E1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1E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E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Desarmar la tapa y limpiar el empaque.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EE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1F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realizar ninguna acción si la fuga es mínima.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1FB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0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0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Cambiar completamente el diferencial.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08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1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6 </w:t>
            </w:r>
          </w:p>
        </w:tc>
        <w:tc>
          <w:tcPr>
            <w:gridSpan w:val="3"/>
            <w:tcBorders>
              <w:right w:color="000000" w:space="0" w:sz="4" w:val="single"/>
            </w:tcBorders>
          </w:tcPr>
          <w:p w:rsidR="00000000" w:rsidDel="00000000" w:rsidP="00000000" w:rsidRDefault="00000000" w:rsidRPr="00000000" w14:paraId="0000022C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¿Qué sucede si el piñón impulsor y la corona no están bien ajustados?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</w:tcPr>
          <w:p w:rsidR="00000000" w:rsidDel="00000000" w:rsidP="00000000" w:rsidRDefault="00000000" w:rsidRPr="00000000" w14:paraId="0000022F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3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El sistema de frenos se ve afectado.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4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4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generan ruidos, desgastes y fallas en los dientes.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49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shd w:fill="fbe5d5" w:val="clear"/>
          </w:tcPr>
          <w:p w:rsidR="00000000" w:rsidDel="00000000" w:rsidP="00000000" w:rsidRDefault="00000000" w:rsidRPr="00000000" w14:paraId="0000025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mejora la tracción del vehículo.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56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shd w:fill="ffffff" w:val="clear"/>
          </w:tcPr>
          <w:p w:rsidR="00000000" w:rsidDel="00000000" w:rsidP="00000000" w:rsidRDefault="00000000" w:rsidRPr="00000000" w14:paraId="0000025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Se reduce el consumo de combustible.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ffffff" w:val="clear"/>
          </w:tcPr>
          <w:p w:rsidR="00000000" w:rsidDel="00000000" w:rsidP="00000000" w:rsidRDefault="00000000" w:rsidRPr="00000000" w14:paraId="00000263">
            <w:pPr>
              <w:widowControl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6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6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8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7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8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¿Cómo se regula el juego entre el piñón impulsor y la corona?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Aplicando mayor cantidad de lubricante.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9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9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Ajustando las tuercas de regulación y midiendo la holgura.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A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Modificando el tamaño de la carcasa.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B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B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Aumentando la presión de los rodamientos.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C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C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D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2D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8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herramienta se usa para medir la holgura entre el piñón y la corona?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2ED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E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Llave de impacto.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A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2FC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Multímetro digital.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5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07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0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Reloj micrométrico.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4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Regla metálica.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1F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21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3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3B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9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3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¿Cuál es la principal función de los piñones satélites y planetarios en el diferencial?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6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8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4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Distribuir la fuerza entre las ruedas motrices.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55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57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Regular el nivel del aceite lubricante.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0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2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c)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4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Aumentar la temperatura del diferencial.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6D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6F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d)</w:t>
            </w:r>
          </w:p>
        </w:tc>
        <w:tc>
          <w:tcPr>
            <w:gridSpan w:val="9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1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Frenar el vehículo en pendientes.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7A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7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89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tcBorders>
              <w:bottom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8B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6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Pregunta 10</w:t>
            </w:r>
          </w:p>
        </w:tc>
        <w:tc>
          <w:tcPr>
            <w:gridSpan w:val="10"/>
            <w:tcBorders>
              <w:top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9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¿Qué procedimiento se realiza para comprobar el asentamiento entre piñón y corona?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2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A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a)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5">
            <w:pPr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Girar el diferencial en seco sin aceite.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AF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0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Opción b)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2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Aplicar tinte y observar el desgaste en los dientes.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C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BD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c)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BF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Usar un calibrador de presión de aire.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A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Opción d)</w:t>
            </w:r>
          </w:p>
        </w:tc>
        <w:tc>
          <w:tcPr>
            <w:gridSpan w:val="10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CC">
            <w:pPr>
              <w:rPr>
                <w:rFonts w:ascii="Calibri" w:cs="Calibri" w:eastAsia="Calibri" w:hAnsi="Calibri"/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Lijar los dientes del piñón para mejorar el ajuste.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D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  <w:shd w:fill="fbe5d5" w:val="clear"/>
          </w:tcPr>
          <w:p w:rsidR="00000000" w:rsidDel="00000000" w:rsidP="00000000" w:rsidRDefault="00000000" w:rsidRPr="00000000" w14:paraId="000003D7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D9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4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3E6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mantenimiento del diferencial incluye la medición del nivel de aceite y su cambio periódico.</w:t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3F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Falso</w:t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0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Verdadero. </w:t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4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3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4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conjunto de engranaje de mando final puede desarmarse y ajustarse por separado.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5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Falso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Verdadero. </w:t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7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8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8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8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9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A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La prueba de carretera es opcional después de realizar una reparación en el diferencial.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Falso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B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Verdadero. </w:t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C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7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D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4E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E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4F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0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Si el piñón impulsor está demasiado alejado de la corona, se debe corregir con arandelas de calibración.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Falso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1E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Verdadero. </w:t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2B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5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3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4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0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5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D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Pregunta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5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El uso del lubricante adecuado prolonga la vida útil del diferencial y evita desgastes prematuros.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A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6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Falso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2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rtl w:val="0"/>
              </w:rPr>
              <w:t xml:space="preserve">Opción b)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Verdadero. </w:t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7F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c)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8C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1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Opción d)</w:t>
            </w:r>
          </w:p>
        </w:tc>
        <w:tc>
          <w:tcPr>
            <w:gridSpan w:val="6"/>
            <w:tcBorders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lef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599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E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A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¡Muy bien! Ha acertado la respuesta.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B">
            <w:pPr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Comentario respuesta incorrecta</w:t>
            </w:r>
          </w:p>
        </w:tc>
        <w:tc>
          <w:tcPr>
            <w:gridSpan w:val="11"/>
            <w:shd w:fill="ffffff" w:val="clear"/>
          </w:tcPr>
          <w:p w:rsidR="00000000" w:rsidDel="00000000" w:rsidP="00000000" w:rsidRDefault="00000000" w:rsidRPr="00000000" w14:paraId="000005A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 sentimos, su respuesta no es la correcta.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13"/>
            <w:shd w:fill="ffd966" w:val="clear"/>
          </w:tcPr>
          <w:p w:rsidR="00000000" w:rsidDel="00000000" w:rsidP="00000000" w:rsidRDefault="00000000" w:rsidRPr="00000000" w14:paraId="000005B8">
            <w:pPr>
              <w:widowControl w:val="0"/>
              <w:jc w:val="center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FINAL ACTIVIDAD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5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supera el 70% de respuestas correctas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C7">
            <w:pPr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8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¡Excelente! Ha superado la actividad.</w:t>
            </w:r>
          </w:p>
          <w:p w:rsidR="00000000" w:rsidDel="00000000" w:rsidP="00000000" w:rsidRDefault="00000000" w:rsidRPr="00000000" w14:paraId="000005C9">
            <w:pPr>
              <w:spacing w:line="276" w:lineRule="auto"/>
              <w:rPr>
                <w:rFonts w:ascii="Calibri" w:cs="Calibri" w:eastAsia="Calibri" w:hAnsi="Calibri"/>
                <w:i w:val="1"/>
                <w:color w:val="aeaaa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A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5">
            <w:pPr>
              <w:widowControl w:val="0"/>
              <w:rPr>
                <w:rFonts w:ascii="Calibri" w:cs="Calibri" w:eastAsia="Calibri" w:hAnsi="Calibri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95959"/>
                <w:rtl w:val="0"/>
              </w:rPr>
              <w:t xml:space="preserve">Mensaje cuando el porcentaje de respuestas correctas es inferior al 70%</w:t>
            </w:r>
          </w:p>
        </w:tc>
        <w:tc>
          <w:tcPr>
            <w:gridSpan w:val="11"/>
            <w:shd w:fill="auto" w:val="clear"/>
          </w:tcPr>
          <w:p w:rsidR="00000000" w:rsidDel="00000000" w:rsidP="00000000" w:rsidRDefault="00000000" w:rsidRPr="00000000" w14:paraId="000005D7">
            <w:pPr>
              <w:rPr>
                <w:rFonts w:ascii="Calibri" w:cs="Calibri" w:eastAsia="Calibri" w:hAnsi="Calibri"/>
                <w:b w:val="1"/>
                <w:i w:val="1"/>
                <w:color w:val="aeaaa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8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rtl w:val="0"/>
              </w:rPr>
              <w:t xml:space="preserve">Le recomendamos volver a revisar el componente formativo e intentar nuevamente la actividad didáctica.</w:t>
            </w:r>
          </w:p>
          <w:p w:rsidR="00000000" w:rsidDel="00000000" w:rsidP="00000000" w:rsidRDefault="00000000" w:rsidRPr="00000000" w14:paraId="000005D9">
            <w:pPr>
              <w:rPr>
                <w:rFonts w:ascii="Calibri" w:cs="Calibri" w:eastAsia="Calibri" w:hAnsi="Calibri"/>
                <w:i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7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3090"/>
        <w:gridCol w:w="3420"/>
        <w:tblGridChange w:id="0">
          <w:tblGrid>
            <w:gridCol w:w="3465"/>
            <w:gridCol w:w="3090"/>
            <w:gridCol w:w="3420"/>
          </w:tblGrid>
        </w:tblGridChange>
      </w:tblGrid>
      <w:tr>
        <w:trPr>
          <w:cantSplit w:val="0"/>
          <w:trHeight w:val="394" w:hRule="atLeast"/>
          <w:tblHeader w:val="0"/>
        </w:trPr>
        <w:tc>
          <w:tcPr>
            <w:gridSpan w:val="3"/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sz w:val="20"/>
                <w:szCs w:val="20"/>
                <w:rtl w:val="0"/>
              </w:rPr>
              <w:t xml:space="preserve">CONTROL DE REVISIÓN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Responsable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Fecha</w:t>
            </w:r>
          </w:p>
        </w:tc>
      </w:tr>
      <w:tr>
        <w:trPr>
          <w:cantSplit w:val="0"/>
          <w:trHeight w:val="492" w:hRule="atLeast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de Estilo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E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595959"/>
                <w:rtl w:val="0"/>
              </w:rPr>
              <w:t xml:space="preserve">Revisión Asesor metodológico </w:t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4b083" w:space="0" w:sz="8" w:val="single"/>
              <w:left w:color="f4b083" w:space="0" w:sz="8" w:val="single"/>
              <w:bottom w:color="f4b083" w:space="0" w:sz="8" w:val="single"/>
              <w:right w:color="f4b083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  <w:color w:val="59595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5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 l="0" r="0" t="0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FORMATO DE DISEÑO INSTRUCCIONAL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COMPONENTES WEB PARA DIAGRAMACIÓN DE CONTENIDO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00000953674316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57875" cy="1435964"/>
              <wp:effectExtent b="0" l="0" r="0" t="0"/>
              <wp:wrapSquare wrapText="bothSides" distB="45720" distT="45720" distL="114300" distR="114300"/>
              <wp:docPr id="4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57875" cy="14359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f4b083" w:space="0" w:sz="12" w:val="single"/>
        </w:tcBorders>
      </w:tcPr>
    </w:tblStylePr>
    <w:tblStylePr w:type="lastRow">
      <w:rPr>
        <w:b w:val="1"/>
      </w:rPr>
      <w:tblPr/>
      <w:tcPr>
        <w:tcBorders>
          <w:top w:color="f4b083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be5d5" w:val="clear"/>
      </w:tcPr>
    </w:tblStylePr>
    <w:tblStylePr w:type="band1Horz">
      <w:tblPr/>
      <w:tcPr>
        <w:shd w:color="auto" w:fill="fbe5d5" w:val="clear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Strong">
    <w:name w:val="Strong"/>
    <w:basedOn w:val="DefaultParagraphFont"/>
    <w:uiPriority w:val="22"/>
    <w:qFormat w:val="1"/>
    <w:rsid w:val="007C0131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31BA4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f4b083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f4b083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tyles" Target="styles.xml"/><Relationship Id="rId10" Type="http://schemas.openxmlformats.org/officeDocument/2006/relationships/customXml" Target="../customXML/item3.xml"/><Relationship Id="rId4" Type="http://schemas.openxmlformats.org/officeDocument/2006/relationships/numbering" Target="numbering.xml"/><Relationship Id="rId9" Type="http://schemas.openxmlformats.org/officeDocument/2006/relationships/customXml" Target="../customXML/item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JhC0flrmWeUfk3vYo5NjD9ymQ==">CgMxLjA4AHIhMVZiLXExbEVlbWUzU1p4R1JQdUFCUUdjREVLUlJZaDFp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30FE637F-7547-4FBF-BC9C-8856889EC295}"/>
</file>

<file path=customXML/itemProps3.xml><?xml version="1.0" encoding="utf-8"?>
<ds:datastoreItem xmlns:ds="http://schemas.openxmlformats.org/officeDocument/2006/customXml" ds:itemID="{ADD1698A-5E76-475D-BB6C-5453835F617F}"/>
</file>

<file path=customXML/itemProps4.xml><?xml version="1.0" encoding="utf-8"?>
<ds:datastoreItem xmlns:ds="http://schemas.openxmlformats.org/officeDocument/2006/customXml" ds:itemID="{4CBC55B4-4DEA-4BFE-8B60-2A3E2177C167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2024-06-18T03:44:00Z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