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43C5D7DB"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00C02521">
        <w:trPr>
          <w:trHeight w:val="435"/>
        </w:trPr>
        <w:tc>
          <w:tcPr>
            <w:tcW w:w="2460"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hideMark/>
          </w:tcPr>
          <w:p w14:paraId="7EF60668" w14:textId="77777777" w:rsidR="00C02521" w:rsidRPr="00C02521" w:rsidRDefault="00C02521" w:rsidP="00C02521">
            <w:pPr>
              <w:spacing w:line="240" w:lineRule="auto"/>
              <w:rPr>
                <w:b/>
                <w:lang w:val="es-CO"/>
              </w:rPr>
            </w:pPr>
            <w:r w:rsidRPr="00C02521">
              <w:rPr>
                <w:b/>
                <w:bCs/>
              </w:rPr>
              <w:t>Título componente</w:t>
            </w:r>
            <w:r w:rsidRPr="00C02521">
              <w:rPr>
                <w:b/>
                <w:lang w:val="es-CO"/>
              </w:rPr>
              <w:t> </w:t>
            </w:r>
          </w:p>
        </w:tc>
        <w:tc>
          <w:tcPr>
            <w:tcW w:w="11925"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hideMark/>
          </w:tcPr>
          <w:p w14:paraId="3F60AE54" w14:textId="77777777" w:rsidR="00C02521" w:rsidRPr="00C02521" w:rsidRDefault="00C02521" w:rsidP="00C02521">
            <w:pPr>
              <w:spacing w:line="240" w:lineRule="auto"/>
              <w:rPr>
                <w:b/>
                <w:lang w:val="es-CO"/>
              </w:rPr>
            </w:pPr>
            <w:r w:rsidRPr="00C02521">
              <w:rPr>
                <w:b/>
                <w:bCs/>
              </w:rPr>
              <w:t>Pódcast</w:t>
            </w:r>
            <w:r w:rsidRPr="00C02521">
              <w:rPr>
                <w:b/>
                <w:lang w:val="es-CO"/>
              </w:rPr>
              <w:t> </w:t>
            </w:r>
          </w:p>
        </w:tc>
      </w:tr>
      <w:tr w:rsidR="00C02521" w:rsidRPr="00C02521" w14:paraId="75B9F1F0" w14:textId="77777777" w:rsidTr="00805A7B">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0EA1B15B" w14:textId="77777777" w:rsidR="00C02521" w:rsidRDefault="00C02521" w:rsidP="00C02521">
            <w:pPr>
              <w:spacing w:line="240" w:lineRule="auto"/>
              <w:rPr>
                <w:b/>
                <w:bCs/>
              </w:rPr>
            </w:pPr>
            <w:r w:rsidRPr="00C02521">
              <w:rPr>
                <w:b/>
                <w:bCs/>
              </w:rPr>
              <w:t xml:space="preserve">Título del </w:t>
            </w:r>
            <w:r>
              <w:rPr>
                <w:b/>
                <w:bCs/>
              </w:rPr>
              <w:t xml:space="preserve">pódcast </w:t>
            </w:r>
          </w:p>
          <w:p w14:paraId="310BAF13" w14:textId="4A461E7B" w:rsidR="00C02521" w:rsidRPr="00C02521" w:rsidRDefault="00C02521" w:rsidP="00C02521">
            <w:pPr>
              <w:spacing w:line="240" w:lineRule="auto"/>
              <w:rPr>
                <w:b/>
                <w:lang w:val="es-CO"/>
              </w:rPr>
            </w:pPr>
            <w:r>
              <w:rPr>
                <w:b/>
                <w:lang w:val="es-CO"/>
              </w:rPr>
              <w:t>Se locuta</w:t>
            </w:r>
          </w:p>
        </w:tc>
        <w:tc>
          <w:tcPr>
            <w:tcW w:w="11925" w:type="dxa"/>
            <w:tcBorders>
              <w:top w:val="single" w:sz="6" w:space="0" w:color="000000"/>
              <w:left w:val="single" w:sz="6" w:space="0" w:color="000000"/>
              <w:bottom w:val="single" w:sz="6" w:space="0" w:color="000000"/>
              <w:right w:val="single" w:sz="6" w:space="0" w:color="000000"/>
            </w:tcBorders>
          </w:tcPr>
          <w:p w14:paraId="284838DB" w14:textId="71191F8C" w:rsidR="00C02521" w:rsidRPr="00C02521" w:rsidRDefault="003E38DF" w:rsidP="00C02521">
            <w:pPr>
              <w:spacing w:line="240" w:lineRule="auto"/>
              <w:rPr>
                <w:lang w:val="es-CO"/>
              </w:rPr>
            </w:pPr>
            <w:r w:rsidRPr="0086717F">
              <w:t>Procesos productivos en el sistema de producción equina</w:t>
            </w:r>
          </w:p>
        </w:tc>
      </w:tr>
      <w:tr w:rsidR="00C02521" w:rsidRPr="00C02521" w14:paraId="0A16DD4C" w14:textId="77777777" w:rsidTr="00805A7B">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9836FDB" w14:textId="77777777" w:rsidR="00C02521" w:rsidRPr="00C02521" w:rsidRDefault="00C02521" w:rsidP="00C02521">
            <w:pPr>
              <w:spacing w:line="240" w:lineRule="auto"/>
              <w:rPr>
                <w:b/>
                <w:lang w:val="es-CO"/>
              </w:rPr>
            </w:pPr>
            <w:r w:rsidRPr="00C02521">
              <w:rPr>
                <w:b/>
                <w:bCs/>
              </w:rPr>
              <w:t>Texto descriptivo</w:t>
            </w:r>
            <w:r w:rsidRPr="00C02521">
              <w:rPr>
                <w:b/>
                <w:lang w:val="es-CO"/>
              </w:rPr>
              <w:t> </w:t>
            </w:r>
          </w:p>
        </w:tc>
        <w:tc>
          <w:tcPr>
            <w:tcW w:w="11925" w:type="dxa"/>
            <w:tcBorders>
              <w:top w:val="single" w:sz="6" w:space="0" w:color="000000"/>
              <w:left w:val="single" w:sz="6" w:space="0" w:color="000000"/>
              <w:bottom w:val="single" w:sz="6" w:space="0" w:color="000000"/>
              <w:right w:val="single" w:sz="6" w:space="0" w:color="000000"/>
            </w:tcBorders>
          </w:tcPr>
          <w:p w14:paraId="42672583" w14:textId="43D0355A" w:rsidR="00C02521" w:rsidRPr="00C02521" w:rsidRDefault="008236AE" w:rsidP="00C02521">
            <w:pPr>
              <w:spacing w:line="240" w:lineRule="auto"/>
              <w:rPr>
                <w:lang w:val="es-CO"/>
              </w:rPr>
            </w:pPr>
            <w:r w:rsidRPr="0019059C">
              <w:t xml:space="preserve">A continuación, se presenta un </w:t>
            </w:r>
            <w:r>
              <w:t xml:space="preserve">pódcast </w:t>
            </w:r>
            <w:r w:rsidRPr="0019059C">
              <w:t xml:space="preserve"> que explica el concepto de proceso dentro del sistema de producción equina, ilustrando con ejemplos prácticos y su vinculación normativa según la Resolución 7953 de 2017</w:t>
            </w:r>
          </w:p>
        </w:tc>
      </w:tr>
      <w:tr w:rsidR="00C02521" w:rsidRPr="00C02521" w14:paraId="5DC880CA" w14:textId="77777777">
        <w:trPr>
          <w:trHeight w:val="405"/>
        </w:trPr>
        <w:tc>
          <w:tcPr>
            <w:tcW w:w="2460" w:type="dxa"/>
            <w:tcBorders>
              <w:top w:val="single" w:sz="6" w:space="0" w:color="000000"/>
              <w:left w:val="single" w:sz="6" w:space="0" w:color="000000"/>
              <w:bottom w:val="single" w:sz="6" w:space="0" w:color="000000"/>
              <w:right w:val="single" w:sz="6" w:space="0" w:color="000000"/>
            </w:tcBorders>
            <w:shd w:val="clear" w:color="auto" w:fill="EFEFEF"/>
            <w:hideMark/>
          </w:tcPr>
          <w:p w14:paraId="2A3463C2" w14:textId="77777777" w:rsidR="00C02521" w:rsidRPr="00C02521" w:rsidRDefault="00C02521" w:rsidP="00C02521">
            <w:pPr>
              <w:spacing w:line="240" w:lineRule="auto"/>
              <w:rPr>
                <w:b/>
                <w:lang w:val="es-CO"/>
              </w:rPr>
            </w:pPr>
            <w:r w:rsidRPr="00C02521">
              <w:rPr>
                <w:b/>
                <w:bCs/>
              </w:rPr>
              <w:t>Escena</w:t>
            </w:r>
            <w:r w:rsidRPr="00C02521">
              <w:rPr>
                <w:b/>
                <w:lang w:val="es-CO"/>
              </w:rPr>
              <w:t> </w:t>
            </w:r>
          </w:p>
        </w:tc>
        <w:tc>
          <w:tcPr>
            <w:tcW w:w="11925" w:type="dxa"/>
            <w:tcBorders>
              <w:top w:val="single" w:sz="6" w:space="0" w:color="000000"/>
              <w:left w:val="single" w:sz="6" w:space="0" w:color="000000"/>
              <w:bottom w:val="single" w:sz="6" w:space="0" w:color="000000"/>
              <w:right w:val="single" w:sz="6" w:space="0" w:color="000000"/>
            </w:tcBorders>
            <w:shd w:val="clear" w:color="auto" w:fill="EFEFEF"/>
            <w:vAlign w:val="center"/>
            <w:hideMark/>
          </w:tcPr>
          <w:p w14:paraId="36E3D754" w14:textId="77777777" w:rsidR="00C02521" w:rsidRPr="00C02521" w:rsidRDefault="00C02521" w:rsidP="00C02521">
            <w:pPr>
              <w:spacing w:line="240" w:lineRule="auto"/>
              <w:rPr>
                <w:b/>
                <w:lang w:val="es-CO"/>
              </w:rPr>
            </w:pPr>
            <w:r w:rsidRPr="00C02521">
              <w:rPr>
                <w:b/>
                <w:bCs/>
              </w:rPr>
              <w:t>Narración (voz en off)</w:t>
            </w:r>
            <w:r w:rsidRPr="00C02521">
              <w:rPr>
                <w:b/>
                <w:lang w:val="es-CO"/>
              </w:rPr>
              <w:t> </w:t>
            </w:r>
          </w:p>
        </w:tc>
      </w:tr>
      <w:tr w:rsidR="00C02521" w:rsidRPr="00C02521" w14:paraId="208B7FFC" w14:textId="77777777">
        <w:trPr>
          <w:trHeight w:val="2070"/>
        </w:trPr>
        <w:tc>
          <w:tcPr>
            <w:tcW w:w="2460" w:type="dxa"/>
            <w:tcBorders>
              <w:top w:val="single" w:sz="6" w:space="0" w:color="000000"/>
              <w:left w:val="single" w:sz="6" w:space="0" w:color="000000"/>
              <w:bottom w:val="single" w:sz="6" w:space="0" w:color="000000"/>
              <w:right w:val="single" w:sz="6" w:space="0" w:color="000000"/>
            </w:tcBorders>
            <w:hideMark/>
          </w:tcPr>
          <w:p w14:paraId="7001A5F6" w14:textId="7F0C2A8C" w:rsidR="00C02521" w:rsidRPr="00C02521" w:rsidRDefault="00C02521" w:rsidP="00C02521">
            <w:pPr>
              <w:spacing w:line="240" w:lineRule="auto"/>
              <w:rPr>
                <w:lang w:val="es-CO"/>
              </w:rPr>
            </w:pPr>
          </w:p>
        </w:tc>
        <w:tc>
          <w:tcPr>
            <w:tcW w:w="11925" w:type="dxa"/>
            <w:tcBorders>
              <w:top w:val="single" w:sz="6" w:space="0" w:color="000000"/>
              <w:left w:val="single" w:sz="6" w:space="0" w:color="000000"/>
              <w:bottom w:val="single" w:sz="6" w:space="0" w:color="000000"/>
              <w:right w:val="single" w:sz="6" w:space="0" w:color="000000"/>
            </w:tcBorders>
            <w:hideMark/>
          </w:tcPr>
          <w:p w14:paraId="0A48D3BE" w14:textId="55940627" w:rsidR="00805A7B" w:rsidRPr="00C02521" w:rsidRDefault="00805A7B" w:rsidP="00805A7B">
            <w:pPr>
              <w:spacing w:line="240" w:lineRule="auto"/>
              <w:rPr>
                <w:lang w:val="es-CO"/>
              </w:rPr>
            </w:pPr>
          </w:p>
          <w:p w14:paraId="2719951A" w14:textId="77777777" w:rsidR="008236AE" w:rsidRPr="0019059C" w:rsidRDefault="008236AE" w:rsidP="008236AE">
            <w:r w:rsidRPr="0019059C">
              <w:t>En el contexto de la producción equina, un proceso se define como un conjunto organizado y secuencial de actividades diseñadas para alcanzar un objetivo específico dentro del sistema productivo. Estos procesos no solo estructuran la operatividad diaria, sino que también garantizan el cumplimiento de estándares sanitarios, de bienestar animal y de bioseguridad.</w:t>
            </w:r>
          </w:p>
          <w:p w14:paraId="1B79D592" w14:textId="77777777" w:rsidR="008236AE" w:rsidRPr="0019059C" w:rsidRDefault="008236AE" w:rsidP="008236AE">
            <w:r w:rsidRPr="0019059C">
              <w:t>Entre los procesos productivos más relevantes en una unidad equina se encuentran el manejo sanitario, que abarca la vacunación, desparasitación y la aplicación de tratamientos; la alimentación y el suministro continuo de agua de calidad; así como la cuarentena y la implementación de medidas de bioseguridad para evitar la introducción y propagación de enfermedades.</w:t>
            </w:r>
          </w:p>
          <w:p w14:paraId="2C0314B0" w14:textId="77777777" w:rsidR="008236AE" w:rsidRPr="0019059C" w:rsidRDefault="008236AE" w:rsidP="008236AE">
            <w:r w:rsidRPr="0019059C">
              <w:t>Otros procesos fundamentales incluyen la limpieza y desinfección periódica de pesebreras y corrales, el manejo adecuado de los cascos mediante recortes y herrajes, y la gestión eficiente del estiércol y los residuos, con un enfoque en la sostenibilidad ambiental. El control de plagas y roedores, el registro e identificación individual de los animales, y el diseño de rutinas de entrenamiento y trabajo complementan esta estructura operativa.</w:t>
            </w:r>
          </w:p>
          <w:p w14:paraId="0D3D64D4" w14:textId="77777777" w:rsidR="008236AE" w:rsidRPr="0019059C" w:rsidRDefault="008236AE" w:rsidP="008236AE">
            <w:r w:rsidRPr="0019059C">
              <w:t>Estos procesos están alineados con lo estipulado en la Resolución 7953 de 2017, que regula las condiciones de bienestar en equinos. En particular, el Artículo 7 aborda aspectos sanitarios; los Artículos 10 y 12 se centran en la alimentación y el bienestar; el Artículo 5 establece directrices sobre bioseguridad; y el Artículo 8 trata el almacenamiento adecuado de insumos.</w:t>
            </w:r>
          </w:p>
          <w:p w14:paraId="1BB597C1" w14:textId="0751D809" w:rsidR="00C02521" w:rsidRPr="00C02521" w:rsidRDefault="008236AE" w:rsidP="008236AE">
            <w:pPr>
              <w:spacing w:line="240" w:lineRule="auto"/>
              <w:rPr>
                <w:lang w:val="es-CO"/>
              </w:rPr>
            </w:pPr>
            <w:r w:rsidRPr="0019059C">
              <w:t>La correcta implementación de estos procesos asegura no solo la eficiencia productiva, sino también el cumplimiento normativo y la mejora continua en las condiciones de vida de los equinos.</w:t>
            </w:r>
          </w:p>
        </w:tc>
      </w:tr>
    </w:tbl>
    <w:p w14:paraId="2D1ED07F" w14:textId="77777777" w:rsidR="009D2E85" w:rsidRDefault="009D2E85">
      <w:pPr>
        <w:spacing w:line="240" w:lineRule="auto"/>
        <w:rPr>
          <w:b/>
        </w:rPr>
      </w:pPr>
    </w:p>
    <w:p w14:paraId="0E97EDDE" w14:textId="77777777" w:rsidR="009D2E85" w:rsidRDefault="009D2E85">
      <w:pPr>
        <w:spacing w:line="240" w:lineRule="auto"/>
        <w:rPr>
          <w:b/>
        </w:rPr>
      </w:pPr>
    </w:p>
    <w:p w14:paraId="3DD44172" w14:textId="77777777" w:rsidR="009D2E85" w:rsidRDefault="009D2E85">
      <w:pPr>
        <w:spacing w:line="240" w:lineRule="auto"/>
        <w:rPr>
          <w:b/>
        </w:rPr>
      </w:pPr>
    </w:p>
    <w:p w14:paraId="26565CCD" w14:textId="77777777" w:rsidR="009D2E85" w:rsidRPr="00BD6557" w:rsidRDefault="009D2E85">
      <w:pPr>
        <w:spacing w:line="240" w:lineRule="auto"/>
        <w:rPr>
          <w:b/>
        </w:rPr>
      </w:pPr>
    </w:p>
    <w:p w14:paraId="00093355" w14:textId="77777777"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B11B" w14:textId="77777777" w:rsidR="004E6A5A" w:rsidRDefault="004E6A5A">
      <w:pPr>
        <w:spacing w:line="240" w:lineRule="auto"/>
      </w:pPr>
      <w:r>
        <w:separator/>
      </w:r>
    </w:p>
  </w:endnote>
  <w:endnote w:type="continuationSeparator" w:id="0">
    <w:p w14:paraId="3714DAD4" w14:textId="77777777" w:rsidR="004E6A5A" w:rsidRDefault="004E6A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0BD36" w14:textId="77777777" w:rsidR="004E6A5A" w:rsidRDefault="004E6A5A">
      <w:pPr>
        <w:spacing w:line="240" w:lineRule="auto"/>
      </w:pPr>
      <w:r>
        <w:separator/>
      </w:r>
    </w:p>
  </w:footnote>
  <w:footnote w:type="continuationSeparator" w:id="0">
    <w:p w14:paraId="57A49C02" w14:textId="77777777" w:rsidR="004E6A5A" w:rsidRDefault="004E6A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56244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41D05"/>
    <w:rsid w:val="000912C1"/>
    <w:rsid w:val="000B5619"/>
    <w:rsid w:val="00101815"/>
    <w:rsid w:val="00106788"/>
    <w:rsid w:val="001067F3"/>
    <w:rsid w:val="00172F64"/>
    <w:rsid w:val="00174BFF"/>
    <w:rsid w:val="00176028"/>
    <w:rsid w:val="001D74B9"/>
    <w:rsid w:val="001F7027"/>
    <w:rsid w:val="002049D2"/>
    <w:rsid w:val="00204CB7"/>
    <w:rsid w:val="0021284A"/>
    <w:rsid w:val="0021605F"/>
    <w:rsid w:val="0022606A"/>
    <w:rsid w:val="00232E7C"/>
    <w:rsid w:val="002465D4"/>
    <w:rsid w:val="00256DB3"/>
    <w:rsid w:val="002A27C6"/>
    <w:rsid w:val="002C686F"/>
    <w:rsid w:val="003138F1"/>
    <w:rsid w:val="003166EB"/>
    <w:rsid w:val="00330A36"/>
    <w:rsid w:val="003C47A8"/>
    <w:rsid w:val="003D2956"/>
    <w:rsid w:val="003D4EC2"/>
    <w:rsid w:val="003D6A7F"/>
    <w:rsid w:val="003E38DF"/>
    <w:rsid w:val="00416594"/>
    <w:rsid w:val="00431A35"/>
    <w:rsid w:val="0043559E"/>
    <w:rsid w:val="004822E3"/>
    <w:rsid w:val="004C3522"/>
    <w:rsid w:val="004C7FA2"/>
    <w:rsid w:val="004E5424"/>
    <w:rsid w:val="004E6A5A"/>
    <w:rsid w:val="004E7F20"/>
    <w:rsid w:val="00505F59"/>
    <w:rsid w:val="005212B4"/>
    <w:rsid w:val="00566629"/>
    <w:rsid w:val="00567C48"/>
    <w:rsid w:val="00590E95"/>
    <w:rsid w:val="005A4DD3"/>
    <w:rsid w:val="005A62EE"/>
    <w:rsid w:val="005C48CA"/>
    <w:rsid w:val="005D40EC"/>
    <w:rsid w:val="00615887"/>
    <w:rsid w:val="006767A7"/>
    <w:rsid w:val="006778F4"/>
    <w:rsid w:val="006814CB"/>
    <w:rsid w:val="006951E9"/>
    <w:rsid w:val="006A3788"/>
    <w:rsid w:val="006D62DD"/>
    <w:rsid w:val="006D65AB"/>
    <w:rsid w:val="006F6F84"/>
    <w:rsid w:val="00750711"/>
    <w:rsid w:val="00770190"/>
    <w:rsid w:val="007A09EA"/>
    <w:rsid w:val="007B4096"/>
    <w:rsid w:val="007D3622"/>
    <w:rsid w:val="00805A7B"/>
    <w:rsid w:val="00805FD4"/>
    <w:rsid w:val="00817DA7"/>
    <w:rsid w:val="008236AE"/>
    <w:rsid w:val="008274E9"/>
    <w:rsid w:val="00860D6B"/>
    <w:rsid w:val="00864470"/>
    <w:rsid w:val="008679A3"/>
    <w:rsid w:val="00867E7E"/>
    <w:rsid w:val="00872731"/>
    <w:rsid w:val="00893878"/>
    <w:rsid w:val="008A0F4E"/>
    <w:rsid w:val="008E286B"/>
    <w:rsid w:val="008E65FF"/>
    <w:rsid w:val="008F1EAB"/>
    <w:rsid w:val="008F5FAC"/>
    <w:rsid w:val="0090554A"/>
    <w:rsid w:val="00915A8D"/>
    <w:rsid w:val="00917E62"/>
    <w:rsid w:val="00920C6B"/>
    <w:rsid w:val="0097481B"/>
    <w:rsid w:val="009847A1"/>
    <w:rsid w:val="009C3C7D"/>
    <w:rsid w:val="009C7134"/>
    <w:rsid w:val="009D2E85"/>
    <w:rsid w:val="009D39BB"/>
    <w:rsid w:val="00A32066"/>
    <w:rsid w:val="00A41A0B"/>
    <w:rsid w:val="00A539D7"/>
    <w:rsid w:val="00A922D2"/>
    <w:rsid w:val="00AA1050"/>
    <w:rsid w:val="00AB72BC"/>
    <w:rsid w:val="00AC450F"/>
    <w:rsid w:val="00AE0643"/>
    <w:rsid w:val="00AE142D"/>
    <w:rsid w:val="00B74BDC"/>
    <w:rsid w:val="00B77CC5"/>
    <w:rsid w:val="00B80615"/>
    <w:rsid w:val="00B923A8"/>
    <w:rsid w:val="00BA703C"/>
    <w:rsid w:val="00BA752D"/>
    <w:rsid w:val="00BB3A44"/>
    <w:rsid w:val="00BD6557"/>
    <w:rsid w:val="00BE0EA4"/>
    <w:rsid w:val="00BE2D99"/>
    <w:rsid w:val="00BE6F10"/>
    <w:rsid w:val="00BF7D78"/>
    <w:rsid w:val="00C02521"/>
    <w:rsid w:val="00C203F9"/>
    <w:rsid w:val="00C50B66"/>
    <w:rsid w:val="00C5157A"/>
    <w:rsid w:val="00C52618"/>
    <w:rsid w:val="00C71D57"/>
    <w:rsid w:val="00CC10FF"/>
    <w:rsid w:val="00CE32F0"/>
    <w:rsid w:val="00D21F69"/>
    <w:rsid w:val="00D5762A"/>
    <w:rsid w:val="00D61CB2"/>
    <w:rsid w:val="00D917F3"/>
    <w:rsid w:val="00D92607"/>
    <w:rsid w:val="00DE15EE"/>
    <w:rsid w:val="00DE2C85"/>
    <w:rsid w:val="00DF340F"/>
    <w:rsid w:val="00E17EF6"/>
    <w:rsid w:val="00E21F86"/>
    <w:rsid w:val="00E43605"/>
    <w:rsid w:val="00EA707E"/>
    <w:rsid w:val="00EC787E"/>
    <w:rsid w:val="00ED4491"/>
    <w:rsid w:val="00EE5A8A"/>
    <w:rsid w:val="00F140D5"/>
    <w:rsid w:val="00F279A8"/>
    <w:rsid w:val="00F729CA"/>
    <w:rsid w:val="00F7392C"/>
    <w:rsid w:val="00FB29D7"/>
    <w:rsid w:val="12BEBD0D"/>
    <w:rsid w:val="18718D02"/>
    <w:rsid w:val="1DCBE229"/>
    <w:rsid w:val="254EFF45"/>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2C686F"/>
    <w:rPr>
      <w:b/>
      <w:bCs/>
    </w:rPr>
  </w:style>
  <w:style w:type="paragraph" w:styleId="ListParagraph">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Emphasis">
    <w:name w:val="Emphasis"/>
    <w:basedOn w:val="DefaultParagraphFont"/>
    <w:uiPriority w:val="20"/>
    <w:qFormat/>
    <w:rsid w:val="00014AF0"/>
    <w:rPr>
      <w:i/>
      <w:iCs/>
    </w:rPr>
  </w:style>
  <w:style w:type="character" w:customStyle="1" w:styleId="apple-converted-space">
    <w:name w:val="apple-converted-space"/>
    <w:basedOn w:val="DefaultParagraphFont"/>
    <w:rsid w:val="00BD6557"/>
  </w:style>
  <w:style w:type="character" w:styleId="Hyperlink">
    <w:name w:val="Hyperlink"/>
    <w:basedOn w:val="DefaultParagraphFont"/>
    <w:uiPriority w:val="99"/>
    <w:unhideWhenUsed/>
    <w:rsid w:val="004822E3"/>
    <w:rPr>
      <w:color w:val="0000FF" w:themeColor="hyperlink"/>
      <w:u w:val="single"/>
    </w:rPr>
  </w:style>
  <w:style w:type="character" w:styleId="CommentReference">
    <w:name w:val="annotation reference"/>
    <w:basedOn w:val="DefaultParagraphFont"/>
    <w:uiPriority w:val="99"/>
    <w:semiHidden/>
    <w:unhideWhenUsed/>
    <w:rsid w:val="008E65FF"/>
    <w:rPr>
      <w:sz w:val="16"/>
      <w:szCs w:val="16"/>
    </w:rPr>
  </w:style>
  <w:style w:type="paragraph" w:styleId="CommentText">
    <w:name w:val="annotation text"/>
    <w:basedOn w:val="Normal"/>
    <w:link w:val="CommentTextChar"/>
    <w:uiPriority w:val="99"/>
    <w:semiHidden/>
    <w:unhideWhenUsed/>
    <w:rsid w:val="008E65FF"/>
    <w:pPr>
      <w:spacing w:line="240" w:lineRule="auto"/>
    </w:pPr>
    <w:rPr>
      <w:sz w:val="20"/>
      <w:szCs w:val="20"/>
    </w:rPr>
  </w:style>
  <w:style w:type="character" w:customStyle="1" w:styleId="CommentTextChar">
    <w:name w:val="Comment Text Char"/>
    <w:basedOn w:val="DefaultParagraphFont"/>
    <w:link w:val="CommentText"/>
    <w:uiPriority w:val="99"/>
    <w:semiHidden/>
    <w:rsid w:val="008E65FF"/>
    <w:rPr>
      <w:sz w:val="20"/>
      <w:szCs w:val="20"/>
    </w:rPr>
  </w:style>
  <w:style w:type="paragraph" w:styleId="CommentSubject">
    <w:name w:val="annotation subject"/>
    <w:basedOn w:val="CommentText"/>
    <w:next w:val="CommentText"/>
    <w:link w:val="CommentSubjectChar"/>
    <w:uiPriority w:val="99"/>
    <w:semiHidden/>
    <w:unhideWhenUsed/>
    <w:rsid w:val="008E65FF"/>
    <w:rPr>
      <w:b/>
      <w:bCs/>
    </w:rPr>
  </w:style>
  <w:style w:type="character" w:customStyle="1" w:styleId="CommentSubjectChar">
    <w:name w:val="Comment Subject Char"/>
    <w:basedOn w:val="CommentTextChar"/>
    <w:link w:val="CommentSubject"/>
    <w:uiPriority w:val="99"/>
    <w:semiHidden/>
    <w:rsid w:val="008E65FF"/>
    <w:rPr>
      <w:b/>
      <w:bCs/>
      <w:sz w:val="20"/>
      <w:szCs w:val="20"/>
    </w:rPr>
  </w:style>
  <w:style w:type="paragraph" w:styleId="BalloonText">
    <w:name w:val="Balloon Text"/>
    <w:basedOn w:val="Normal"/>
    <w:link w:val="BalloonTextChar"/>
    <w:uiPriority w:val="99"/>
    <w:semiHidden/>
    <w:unhideWhenUsed/>
    <w:rsid w:val="008E65F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5FF"/>
    <w:rPr>
      <w:rFonts w:ascii="Segoe UI" w:hAnsi="Segoe UI" w:cs="Segoe UI"/>
      <w:sz w:val="18"/>
      <w:szCs w:val="18"/>
    </w:rPr>
  </w:style>
  <w:style w:type="character" w:styleId="UnresolvedMention">
    <w:name w:val="Unresolved Mention"/>
    <w:basedOn w:val="DefaultParagraphFont"/>
    <w:uiPriority w:val="99"/>
    <w:semiHidden/>
    <w:unhideWhenUsed/>
    <w:rsid w:val="00F140D5"/>
    <w:rPr>
      <w:color w:val="605E5C"/>
      <w:shd w:val="clear" w:color="auto" w:fill="E1DFDD"/>
    </w:rPr>
  </w:style>
  <w:style w:type="paragraph" w:styleId="Header">
    <w:name w:val="header"/>
    <w:basedOn w:val="Normal"/>
    <w:link w:val="HeaderChar"/>
    <w:uiPriority w:val="99"/>
    <w:unhideWhenUsed/>
    <w:rsid w:val="00D61CB2"/>
    <w:pPr>
      <w:tabs>
        <w:tab w:val="center" w:pos="4419"/>
        <w:tab w:val="right" w:pos="8838"/>
      </w:tabs>
      <w:spacing w:line="240" w:lineRule="auto"/>
    </w:pPr>
  </w:style>
  <w:style w:type="character" w:customStyle="1" w:styleId="HeaderChar">
    <w:name w:val="Header Char"/>
    <w:basedOn w:val="DefaultParagraphFont"/>
    <w:link w:val="Header"/>
    <w:uiPriority w:val="99"/>
    <w:rsid w:val="00D61CB2"/>
  </w:style>
  <w:style w:type="paragraph" w:styleId="Footer">
    <w:name w:val="footer"/>
    <w:basedOn w:val="Normal"/>
    <w:link w:val="FooterChar"/>
    <w:uiPriority w:val="99"/>
    <w:unhideWhenUsed/>
    <w:rsid w:val="00D61CB2"/>
    <w:pPr>
      <w:tabs>
        <w:tab w:val="center" w:pos="4419"/>
        <w:tab w:val="right" w:pos="8838"/>
      </w:tabs>
      <w:spacing w:line="240" w:lineRule="auto"/>
    </w:pPr>
  </w:style>
  <w:style w:type="character" w:customStyle="1" w:styleId="FooterChar">
    <w:name w:val="Footer Char"/>
    <w:basedOn w:val="DefaultParagraphFont"/>
    <w:link w:val="Footer"/>
    <w:uiPriority w:val="99"/>
    <w:rsid w:val="00D6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3.xml><?xml version="1.0" encoding="utf-8"?>
<ds:datastoreItem xmlns:ds="http://schemas.openxmlformats.org/officeDocument/2006/customXml" ds:itemID="{2F199B6F-9E4B-4F0E-9172-140927799B2D}"/>
</file>

<file path=docProps/app.xml><?xml version="1.0" encoding="utf-8"?>
<Properties xmlns="http://schemas.openxmlformats.org/officeDocument/2006/extended-properties" xmlns:vt="http://schemas.openxmlformats.org/officeDocument/2006/docPropsVTypes">
  <Template>Normal.dotm</Template>
  <TotalTime>2</TotalTime>
  <Pages>2</Pages>
  <Words>328</Words>
  <Characters>1805</Characters>
  <Application>Microsoft Office Word</Application>
  <DocSecurity>0</DocSecurity>
  <Lines>15</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Paola Moya</cp:lastModifiedBy>
  <cp:revision>5</cp:revision>
  <dcterms:created xsi:type="dcterms:W3CDTF">2025-08-21T15:11:00Z</dcterms:created>
  <dcterms:modified xsi:type="dcterms:W3CDTF">2025-12-04T21:24:00Z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