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tcW w:w="2534" w:type="dxa"/>
            <w:gridSpan w:val="2"/>
          </w:tcPr>
          <w:p w14:paraId="456901DB" w14:textId="77777777" w:rsidR="00F74F1E" w:rsidRPr="00F8304E" w:rsidRDefault="00F74F1E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rPr>
                <w:rFonts w:eastAsia="Calibri"/>
                <w:i/>
                <w:color w:val="000000" w:themeColor="text1"/>
              </w:rPr>
            </w:pPr>
          </w:p>
          <w:p w14:paraId="6AEF897B" w14:textId="2DCC0DE5" w:rsidR="00F74F1E" w:rsidRPr="00F8304E" w:rsidRDefault="00F74F1E">
            <w:pPr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180EF9" w:rsidRPr="00180EF9">
              <w:rPr>
                <w:color w:val="000000" w:themeColor="text1"/>
              </w:rPr>
              <w:t>Manejo de efectivo y equivalente al efectivo</w:t>
            </w:r>
          </w:p>
          <w:p w14:paraId="027A1C4A" w14:textId="77777777" w:rsidR="00F74F1E" w:rsidRPr="00F8304E" w:rsidRDefault="00F74F1E">
            <w:pPr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7A2AD49" w:rsidR="00F74F1E" w:rsidRPr="00F36ABA" w:rsidRDefault="00F36ABA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F36ABA">
              <w:rPr>
                <w:rFonts w:eastAsia="Calibri"/>
                <w:bCs/>
                <w:iCs/>
                <w:color w:val="auto"/>
              </w:rPr>
              <w:t xml:space="preserve">Manejo del </w:t>
            </w:r>
            <w:r w:rsidRPr="00F36ABA">
              <w:rPr>
                <w:rFonts w:eastAsia="Calibri"/>
                <w:bCs/>
                <w:iCs/>
                <w:color w:val="auto"/>
              </w:rPr>
              <w:t>efectivo y sus equivalentes en la gestión contable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080AA8D9" w:rsidR="00F74F1E" w:rsidRPr="00F36ABA" w:rsidRDefault="00F36ABA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F36ABA">
              <w:rPr>
                <w:rFonts w:eastAsia="Calibri"/>
                <w:bCs/>
                <w:iCs/>
                <w:color w:val="auto"/>
              </w:rPr>
              <w:t xml:space="preserve">Identificar </w:t>
            </w:r>
            <w:r w:rsidRPr="00F36ABA">
              <w:rPr>
                <w:rFonts w:eastAsia="Calibri"/>
                <w:bCs/>
                <w:iCs/>
                <w:color w:val="auto"/>
              </w:rPr>
              <w:t>los conceptos clave relacionados con el manejo del efectivo, equivalentes al efectivo, políticas contables, arqueo de caja, conciliación bancaria y ajustes por diferencia en cambio según normativas internacionales.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36ABA" w:rsidRDefault="00F74F1E">
            <w:pPr>
              <w:jc w:val="center"/>
              <w:rPr>
                <w:rFonts w:eastAsia="Calibri"/>
                <w:color w:val="auto"/>
              </w:rPr>
            </w:pPr>
            <w:r w:rsidRPr="00F36ABA">
              <w:rPr>
                <w:rFonts w:eastAsia="Calibri"/>
                <w:color w:val="auto"/>
              </w:rPr>
              <w:t>PREGUNTAS</w:t>
            </w:r>
          </w:p>
        </w:tc>
      </w:tr>
      <w:tr w:rsidR="00F36ABA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481BB1FD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¿Cuál de los siguientes elementos hace parte del efectivo?</w:t>
            </w:r>
          </w:p>
        </w:tc>
        <w:tc>
          <w:tcPr>
            <w:tcW w:w="2160" w:type="dxa"/>
            <w:gridSpan w:val="8"/>
          </w:tcPr>
          <w:p w14:paraId="56B1DBDC" w14:textId="77777777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36ABA">
              <w:rPr>
                <w:rFonts w:eastAsia="Calibri"/>
                <w:bCs/>
                <w:color w:val="auto"/>
              </w:rPr>
              <w:t>Rta(s) correcta(s) (x)</w:t>
            </w:r>
          </w:p>
        </w:tc>
      </w:tr>
      <w:tr w:rsidR="00F36ABA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69880AAE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Caja general, caja menor y bancos.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230E91E6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Caja general, caja menor y entidades financieras.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643168F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36ABA">
              <w:rPr>
                <w:rFonts w:eastAsia="Calibri"/>
                <w:bCs/>
                <w:color w:val="auto"/>
              </w:rPr>
              <w:t>x</w:t>
            </w:r>
          </w:p>
        </w:tc>
      </w:tr>
      <w:tr w:rsidR="00F36ABA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0FFF27C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Caja menor, bonos y CDT.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76062EEC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Bancos, CDT y bonos.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36ABA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61C8639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F36ABA">
              <w:rPr>
                <w:color w:val="auto"/>
              </w:rPr>
              <w:t>Según la NIC 7, un equivalente al efectivo debe: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F36ABA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F56001B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Generar rendimientos altos.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314EDA56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Tener riesgo significativo.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391AD681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Ser utilizado para inversiones a largo plazo.</w:t>
            </w:r>
          </w:p>
        </w:tc>
        <w:tc>
          <w:tcPr>
            <w:tcW w:w="2160" w:type="dxa"/>
            <w:gridSpan w:val="8"/>
          </w:tcPr>
          <w:p w14:paraId="4DFC28D1" w14:textId="77777777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55A3F4B8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Ser fácilmente convertible a efectivo.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0DF0193A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36ABA">
              <w:rPr>
                <w:rFonts w:eastAsia="Calibri"/>
                <w:bCs/>
                <w:color w:val="auto"/>
              </w:rPr>
              <w:t>x</w:t>
            </w: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36ABA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158CAB82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F36ABA">
              <w:rPr>
                <w:color w:val="auto"/>
              </w:rPr>
              <w:t>¿Cuál de las siguientes opciones describe mejor una inversión de renta variable?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509C55B8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Produce siempre el mismo rendimiento.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1891563A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Depende del comportamiento del mercado.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0E360BA3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36ABA">
              <w:rPr>
                <w:rFonts w:eastAsia="Calibri"/>
                <w:bCs/>
                <w:color w:val="auto"/>
              </w:rPr>
              <w:t>x</w:t>
            </w:r>
          </w:p>
        </w:tc>
      </w:tr>
      <w:tr w:rsidR="00F36ABA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1AA5B581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No genera ningún tipo de rendimiento.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8ED2F23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Tiene un rendimiento garantizado por el emisor.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36ABA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811D23E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F36ABA">
              <w:rPr>
                <w:color w:val="auto"/>
              </w:rPr>
              <w:t>Las políticas contables establecen: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2EBB4933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Únicamente las normas de auditoría.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61F3F79A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Solo el valor de mercado de los activos.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76EB31F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Las bases, normas y procedimientos para la presentación de los estados financieros.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0B3F8C9B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36ABA">
              <w:rPr>
                <w:rFonts w:eastAsia="Calibri"/>
                <w:bCs/>
                <w:color w:val="auto"/>
              </w:rPr>
              <w:t>x</w:t>
            </w:r>
          </w:p>
        </w:tc>
      </w:tr>
      <w:tr w:rsidR="00F36ABA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1CDAA6D9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El valor futuro de las inversiones de la empresa.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36ABA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D021252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F36ABA">
              <w:rPr>
                <w:color w:val="auto"/>
              </w:rPr>
              <w:t>¿Qué se debe hacer si durante un arqueo de caja se encuentra un faltante?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38584DD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Ignorar el resultado.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4471183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Registrar un ajuste mediante nota contable.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1CB60130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36ABA">
              <w:rPr>
                <w:rFonts w:eastAsia="Calibri"/>
                <w:bCs/>
                <w:color w:val="auto"/>
              </w:rPr>
              <w:t>x</w:t>
            </w:r>
          </w:p>
        </w:tc>
      </w:tr>
      <w:tr w:rsidR="00F36ABA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1577B8EA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Solicitar préstamo bancario.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2CFDB92F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Cancelar el fondo de caja.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F36ABA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08535ED4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F36ABA">
              <w:rPr>
                <w:color w:val="auto"/>
              </w:rPr>
              <w:t>¿Qué tipo de inversión se clasifica como equivalente al efectivo?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01698D69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Acciones con alta volatilidad.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962B6EE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Bonos con vencimiento a un año.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36ABA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B10B4BB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CDT con vencimiento menor a 90 días.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3F8B61B9" w:rsidR="00F36ABA" w:rsidRPr="00F36ABA" w:rsidRDefault="00F36ABA" w:rsidP="00F36A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F36ABA">
              <w:rPr>
                <w:rFonts w:eastAsia="Calibri"/>
                <w:bCs/>
                <w:color w:val="auto"/>
              </w:rPr>
              <w:t>x</w:t>
            </w:r>
          </w:p>
        </w:tc>
      </w:tr>
      <w:tr w:rsidR="00F36ABA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7AF2614B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Compra de maquinaria.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F36ABA" w:rsidRPr="00F36ABA" w:rsidRDefault="00F36ABA" w:rsidP="00F36AB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36ABA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E4C739F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¿Cuál es una característica de la presentación en los estados financieros?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25FC5941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Incluir la información contable para su análisis por los usuarios.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134664BE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36ABA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CF8D8D2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Registrar solamente cifras aproximadas.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1A2D1B2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Excluir notas aclaratorias.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6E537899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Publicar en revistas especializadas.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36ABA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3E11556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¿Cuál es uno de los objetivos de la conciliación bancaria?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CFC5C36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Verificar que los libros contables coincidan con el extracto bancario.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03A2889F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36ABA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86A4088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Duplicar las transacciones registradas.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F3A9518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Incrementar el saldo contable artificialmente.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1576A4F2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Cancelar las cuentas bancarias no conciliadas.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36ABA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291A91C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¿Cuál de las siguientes afirmaciones sobre el efectivo es verdadera?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19115C55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Es un activo corriente con disponibilidad inmediata.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6081954D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F36ABA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A0FF575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Solo está compuesto por inversiones a largo plazo.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1485568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No puede estar en moneda extranjera.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36ABA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F0150B2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Debe mantenerse en bóvedas únicamente.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F36ABA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F36ABA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F36ABA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F36ABA" w:rsidRPr="00F8304E" w:rsidRDefault="00F36ABA" w:rsidP="00F36AB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C26F831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¿Cuál es el objetivo de la NIC 21?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36ABA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4E0C1B7C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Establecer reglas para préstamos financieros.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36ABA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4187456B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Regular el tratamiento contable de las transacciones en moneda extranjera.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096108B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F36ABA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F36ABA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7D7EE219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Determinar impuestos sobre la renta.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36ABA" w:rsidRPr="00F36ABA" w:rsidRDefault="00F36ABA" w:rsidP="00F36A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36ABA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36ABA" w:rsidRPr="00F8304E" w:rsidRDefault="00F36ABA" w:rsidP="00F36AB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07B4DD2F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F36ABA">
              <w:rPr>
                <w:color w:val="auto"/>
              </w:rPr>
              <w:t>Dirigir la auditoría interna de las empresas.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36ABA" w:rsidRPr="00F36ABA" w:rsidRDefault="00F36ABA" w:rsidP="00F36A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75E8EACA" w:rsidR="00090CAE" w:rsidRPr="00F8304E" w:rsidRDefault="00F36ABA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36ABA">
              <w:rPr>
                <w:rFonts w:eastAsia="Calibri"/>
                <w:b/>
                <w:iCs/>
                <w:color w:val="000000" w:themeColor="text1"/>
              </w:rPr>
              <w:t>El fondo de caja menor se utiliza para cubrir gastos de gran cuantía.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5D5D46E3" w:rsidR="00090CAE" w:rsidRPr="00F8304E" w:rsidRDefault="00F36ABA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704F9237" w:rsidR="00A50799" w:rsidRPr="00F8304E" w:rsidRDefault="00F36ABA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36ABA">
              <w:rPr>
                <w:rFonts w:eastAsia="Calibri"/>
                <w:b/>
                <w:iCs/>
                <w:color w:val="000000" w:themeColor="text1"/>
              </w:rPr>
              <w:t>La presentación del efectivo en los estados financieros debe seguir las políticas contables de la empresa.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F132ADB" w:rsidR="004140D8" w:rsidRPr="00F8304E" w:rsidRDefault="00F36ABA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23F320B1" w:rsidR="004140D8" w:rsidRPr="00F8304E" w:rsidRDefault="00F36ABA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36ABA">
              <w:rPr>
                <w:rFonts w:eastAsia="Calibri"/>
                <w:b/>
                <w:iCs/>
                <w:color w:val="000000" w:themeColor="text1"/>
              </w:rPr>
              <w:t>Un equivalente al efectivo puede tener un vencimiento superior a 90 días.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13C3D139" w:rsidR="004140D8" w:rsidRPr="00F8304E" w:rsidRDefault="00F36ABA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B272226" w:rsidR="004140D8" w:rsidRPr="00F8304E" w:rsidRDefault="00F36ABA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36ABA">
              <w:rPr>
                <w:rFonts w:eastAsia="Calibri"/>
                <w:b/>
                <w:iCs/>
                <w:color w:val="000000" w:themeColor="text1"/>
              </w:rPr>
              <w:t>La conciliación bancaria permite identificar errores tanto del banco como de la empresa.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5BAE352F" w:rsidR="004140D8" w:rsidRPr="00F8304E" w:rsidRDefault="00F36ABA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2B6539BC" w:rsidR="004140D8" w:rsidRPr="00F8304E" w:rsidRDefault="00F36ABA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F36ABA">
              <w:rPr>
                <w:rFonts w:eastAsia="Calibri"/>
                <w:b/>
                <w:iCs/>
                <w:color w:val="000000" w:themeColor="text1"/>
              </w:rPr>
              <w:t>Las inversiones permanentes se clasifican como equivalentes al efectivo.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6411B2F3" w:rsidR="004140D8" w:rsidRPr="00F8304E" w:rsidRDefault="00F36ABA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ACDD6A" w14:textId="77777777" w:rsidR="00D866F3" w:rsidRDefault="00D866F3">
      <w:pPr>
        <w:spacing w:line="240" w:lineRule="auto"/>
      </w:pPr>
      <w:r>
        <w:separator/>
      </w:r>
    </w:p>
  </w:endnote>
  <w:endnote w:type="continuationSeparator" w:id="0">
    <w:p w14:paraId="37E5E31C" w14:textId="77777777" w:rsidR="00D866F3" w:rsidRDefault="00D866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703B0C7-1B8B-4AAE-A1EB-BBD0134A7C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A5D4C9-DD96-409D-B689-3CC6BC2BF7FA}"/>
    <w:embedBold r:id="rId3" w:fontKey="{63E778E6-1F05-48F1-A48E-32C4F4CEED18}"/>
    <w:embedItalic r:id="rId4" w:fontKey="{E7447B9B-8BFD-4D50-95C8-F246CA896A45}"/>
    <w:embedBoldItalic r:id="rId5" w:fontKey="{8D276997-B077-486E-B7E0-D3646834F4B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52F3835-24CD-4A51-80E7-0D124579654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7BB480" w14:textId="77777777" w:rsidR="00D866F3" w:rsidRDefault="00D866F3">
      <w:pPr>
        <w:spacing w:line="240" w:lineRule="auto"/>
      </w:pPr>
      <w:r>
        <w:separator/>
      </w:r>
    </w:p>
  </w:footnote>
  <w:footnote w:type="continuationSeparator" w:id="0">
    <w:p w14:paraId="07F44E2C" w14:textId="77777777" w:rsidR="00D866F3" w:rsidRDefault="00D866F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80EF9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51551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D866F3"/>
    <w:rsid w:val="00E160B7"/>
    <w:rsid w:val="00E61FEA"/>
    <w:rsid w:val="00E814A8"/>
    <w:rsid w:val="00ED2719"/>
    <w:rsid w:val="00ED4BC0"/>
    <w:rsid w:val="00F21227"/>
    <w:rsid w:val="00F36ABA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6CCEF9B-CD20-4A80-923F-446384B3F924}"/>
</file>

<file path=customXml/itemProps2.xml><?xml version="1.0" encoding="utf-8"?>
<ds:datastoreItem xmlns:ds="http://schemas.openxmlformats.org/officeDocument/2006/customXml" ds:itemID="{F6616492-53E0-4FB9-9AA5-95B5B8CAFDA4}"/>
</file>

<file path=customXml/itemProps3.xml><?xml version="1.0" encoding="utf-8"?>
<ds:datastoreItem xmlns:ds="http://schemas.openxmlformats.org/officeDocument/2006/customXml" ds:itemID="{548AF5F7-DA83-42F4-A486-963AEF0D9DF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5</Pages>
  <Words>1194</Words>
  <Characters>6569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2025-03-27T19:03:00Z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