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tbl>
      <w:tblPr>
        <w:tblStyle w:val="Table1"/>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200"/>
        <w:gridCol w:w="4635"/>
        <w:tblGridChange w:id="0">
          <w:tblGrid>
            <w:gridCol w:w="2565"/>
            <w:gridCol w:w="7200"/>
            <w:gridCol w:w="4635"/>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Título componente</w:t>
            </w:r>
          </w:p>
        </w:tc>
        <w:tc>
          <w:tcPr>
            <w:gridSpan w:val="2"/>
            <w:shd w:fill="fce5cd"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Tarjetas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Título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sz w:val="20"/>
                <w:szCs w:val="20"/>
              </w:rPr>
            </w:pPr>
            <w:r w:rsidDel="00000000" w:rsidR="00000000" w:rsidRPr="00000000">
              <w:rPr>
                <w:color w:val="434343"/>
                <w:sz w:val="20"/>
                <w:szCs w:val="20"/>
                <w:rtl w:val="0"/>
              </w:rPr>
              <w:t xml:space="preserve">Técnicas de presentación y comunicación de información</w:t>
            </w:r>
            <w:r w:rsidDel="00000000" w:rsidR="00000000" w:rsidRPr="00000000">
              <w:rPr>
                <w:rtl w:val="0"/>
              </w:rPr>
            </w:r>
          </w:p>
          <w:p w:rsidR="00000000" w:rsidDel="00000000" w:rsidP="00000000" w:rsidRDefault="00000000" w:rsidRPr="00000000" w14:paraId="00000007">
            <w:pPr>
              <w:widowControl w:val="0"/>
              <w:spacing w:line="240" w:lineRule="auto"/>
              <w:rPr>
                <w:color w:val="434343"/>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Texto descriptivo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Analice la siguiente infografía y detalle las características de las técnicas de presentación y compilación de información que pueden ser usados en la biblioteca o cualquier organización o proyecto; recuerde registrar en su libreta de apuntes, los elementos más destacados.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Tarjeta 1</w:t>
            </w:r>
          </w:p>
        </w:tc>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Intrainstitucional</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refiere a las interacciones y uso de la información de los reportes, al interior de la empresa, entre sus áreas funcionales y, por ende, entre las personas. Esto denota un flujo de coordinación de actividades respecto a funciones por desarrollar por parte de la biblioteca para mejorar sus servicios o promover los mismos, compartir los logros, etc.</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sz w:val="20"/>
                <w:szCs w:val="20"/>
              </w:rPr>
            </w:pPr>
            <w:r w:rsidDel="00000000" w:rsidR="00000000" w:rsidRPr="00000000">
              <w:rPr/>
              <w:drawing>
                <wp:inline distB="0" distT="0" distL="0" distR="0">
                  <wp:extent cx="1831815" cy="1221347"/>
                  <wp:effectExtent b="0" l="0" r="0" t="0"/>
                  <wp:docPr descr="Group of casually dressed asian businesspeople discussing ideas in the office. Creative professionals gathered at the meeting table for discuss important issues of the new successful startup project" id="3" name="image3.jpg"/>
                  <a:graphic>
                    <a:graphicData uri="http://schemas.openxmlformats.org/drawingml/2006/picture">
                      <pic:pic>
                        <pic:nvPicPr>
                          <pic:cNvPr descr="Group of casually dressed asian businesspeople discussing ideas in the office. Creative professionals gathered at the meeting table for discuss important issues of the new successful startup project" id="0" name="image3.jpg"/>
                          <pic:cNvPicPr preferRelativeResize="0"/>
                        </pic:nvPicPr>
                        <pic:blipFill>
                          <a:blip r:embed="rId6"/>
                          <a:srcRect b="0" l="0" r="0" t="0"/>
                          <a:stretch>
                            <a:fillRect/>
                          </a:stretch>
                        </pic:blipFill>
                        <pic:spPr>
                          <a:xfrm>
                            <a:off x="0" y="0"/>
                            <a:ext cx="1831815" cy="122134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line="240" w:lineRule="auto"/>
              <w:rPr>
                <w:sz w:val="20"/>
                <w:szCs w:val="20"/>
              </w:rPr>
            </w:pPr>
            <w:hyperlink r:id="rId7">
              <w:r w:rsidDel="00000000" w:rsidR="00000000" w:rsidRPr="00000000">
                <w:rPr>
                  <w:color w:val="0000ff"/>
                  <w:sz w:val="20"/>
                  <w:szCs w:val="20"/>
                  <w:u w:val="single"/>
                  <w:rtl w:val="0"/>
                </w:rPr>
                <w:t xml:space="preserve">https://t4.ftcdn.net/jpg/04/95/11/99/240_F_495119963_ry7RWp3lvx3taE9AqSqOeIjzjdZ3YXXI.jpg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Tarjeta 2</w:t>
            </w:r>
          </w:p>
        </w:tc>
        <w:tc>
          <w:tcPr>
            <w:shd w:fill="auto" w:val="clear"/>
            <w:tcMar>
              <w:top w:w="100.0" w:type="dxa"/>
              <w:left w:w="100.0" w:type="dxa"/>
              <w:bottom w:w="100.0" w:type="dxa"/>
              <w:right w:w="100.0" w:type="dxa"/>
            </w:tcMar>
          </w:tcPr>
          <w:p w:rsidR="00000000" w:rsidDel="00000000" w:rsidP="00000000" w:rsidRDefault="00000000" w:rsidRPr="00000000" w14:paraId="00000014">
            <w:pPr>
              <w:jc w:val="both"/>
              <w:rPr>
                <w:b w:val="1"/>
                <w:sz w:val="20"/>
                <w:szCs w:val="20"/>
              </w:rPr>
            </w:pPr>
            <w:r w:rsidDel="00000000" w:rsidR="00000000" w:rsidRPr="00000000">
              <w:rPr>
                <w:b w:val="1"/>
                <w:sz w:val="20"/>
                <w:szCs w:val="20"/>
                <w:rtl w:val="0"/>
              </w:rPr>
              <w:t xml:space="preserve">Interinstitucional</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Son los reportes por difundir a externos para promover el servicio bibliotecario, los contenidos disponibles, los servicios de acceso digital, las nuevas adquisiciones etc. Tienen un sentido más de promoción y servicio de la biblioteca a la comunidad o actores interesados.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sz w:val="20"/>
                <w:szCs w:val="20"/>
              </w:rPr>
            </w:pPr>
            <w:r w:rsidDel="00000000" w:rsidR="00000000" w:rsidRPr="00000000">
              <w:rPr/>
              <w:drawing>
                <wp:inline distB="0" distT="0" distL="0" distR="0">
                  <wp:extent cx="1836003" cy="1090817"/>
                  <wp:effectExtent b="0" l="0" r="0" t="0"/>
                  <wp:docPr descr="Business people listening to businessman and asking questions at conference." id="4" name="image1.jpg"/>
                  <a:graphic>
                    <a:graphicData uri="http://schemas.openxmlformats.org/drawingml/2006/picture">
                      <pic:pic>
                        <pic:nvPicPr>
                          <pic:cNvPr descr="Business people listening to businessman and asking questions at conference." id="0" name="image1.jpg"/>
                          <pic:cNvPicPr preferRelativeResize="0"/>
                        </pic:nvPicPr>
                        <pic:blipFill>
                          <a:blip r:embed="rId8"/>
                          <a:srcRect b="0" l="0" r="0" t="0"/>
                          <a:stretch>
                            <a:fillRect/>
                          </a:stretch>
                        </pic:blipFill>
                        <pic:spPr>
                          <a:xfrm>
                            <a:off x="0" y="0"/>
                            <a:ext cx="1836003" cy="109081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rPr>
                <w:sz w:val="20"/>
                <w:szCs w:val="20"/>
              </w:rPr>
            </w:pPr>
            <w:hyperlink r:id="rId9">
              <w:r w:rsidDel="00000000" w:rsidR="00000000" w:rsidRPr="00000000">
                <w:rPr>
                  <w:color w:val="0000ff"/>
                  <w:sz w:val="20"/>
                  <w:szCs w:val="20"/>
                  <w:u w:val="single"/>
                  <w:rtl w:val="0"/>
                </w:rPr>
                <w:t xml:space="preserve">https://t3.ftcdn.net/jpg/02/84/86/46/240_F_284864682_lnEzZc6xNnpgiyxfMgYA7hvwrs9dtMBV.jpg</w:t>
              </w:r>
            </w:hyperlink>
            <w:r w:rsidDel="00000000" w:rsidR="00000000" w:rsidRPr="00000000">
              <w:rPr>
                <w:sz w:val="20"/>
                <w:szCs w:val="20"/>
                <w:rtl w:val="0"/>
              </w:rPr>
              <w:t xml:space="preserve"> </w:t>
            </w:r>
          </w:p>
        </w:tc>
      </w:tr>
    </w:tbl>
    <w:p w:rsidR="00000000" w:rsidDel="00000000" w:rsidP="00000000" w:rsidRDefault="00000000" w:rsidRPr="00000000" w14:paraId="00000019">
      <w:pPr>
        <w:spacing w:line="240" w:lineRule="auto"/>
        <w:rPr>
          <w:b w:val="1"/>
        </w:rPr>
      </w:pPr>
      <w:r w:rsidDel="00000000" w:rsidR="00000000" w:rsidRPr="00000000">
        <w:rPr>
          <w:rtl w:val="0"/>
        </w:rPr>
      </w:r>
    </w:p>
    <w:sectPr>
      <w:headerReference r:id="rId10" w:type="default"/>
      <w:footerReference r:id="rId11"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57875" cy="1435964"/>
              <wp:effectExtent b="0" l="0" r="0" t="0"/>
              <wp:wrapSquare wrapText="bothSides" distB="45720" distT="45720" distL="114300" distR="114300"/>
              <wp:docPr id="1" name=""/>
              <a:graphic>
                <a:graphicData uri="http://schemas.microsoft.com/office/word/2010/wordprocessingShape">
                  <wps:wsp>
                    <wps:cNvSpPr/>
                    <wps:cNvPr id="2" name="Shape 2"/>
                    <wps:spPr>
                      <a:xfrm>
                        <a:off x="2431350" y="3077690"/>
                        <a:ext cx="582930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57875" cy="1435964"/>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57875" cy="143596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-457197</wp:posOffset>
          </wp:positionH>
          <wp:positionV relativeFrom="paragraph">
            <wp:posOffset>-457196</wp:posOffset>
          </wp:positionV>
          <wp:extent cx="10128885" cy="13906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
                  <a:srcRect b="34234" l="0" r="0" t="0"/>
                  <a:stretch>
                    <a:fillRect/>
                  </a:stretch>
                </pic:blipFill>
                <pic:spPr>
                  <a:xfrm>
                    <a:off x="0" y="0"/>
                    <a:ext cx="10128885" cy="1390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t3.ftcdn.net/jpg/02/84/86/46/240_F_284864682_lnEzZc6xNnpgiyxfMgYA7hvwrs9dtMBV.jpg"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t4.ftcdn.net/jpg/04/95/11/99/240_F_495119963_ry7RWp3lvx3taE9AqSqOeIjzjdZ3YXXI.jpg" TargetMode="Externa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