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1"/>
        <w:gridCol w:w="7444"/>
        <w:gridCol w:w="4345"/>
        <w:tblGridChange w:id="0">
          <w:tblGrid>
            <w:gridCol w:w="2611"/>
            <w:gridCol w:w="7444"/>
            <w:gridCol w:w="4345"/>
          </w:tblGrid>
        </w:tblGridChange>
      </w:tblGrid>
      <w:tr>
        <w:trPr>
          <w:cantSplit w:val="0"/>
          <w:trHeight w:val="440" w:hRule="atLeast"/>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Línea de tiempo</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color w:val="434343"/>
              </w:rPr>
            </w:pPr>
            <w:r w:rsidDel="00000000" w:rsidR="00000000" w:rsidRPr="00000000">
              <w:rPr>
                <w:b w:val="1"/>
                <w:color w:val="434343"/>
                <w:rtl w:val="0"/>
              </w:rPr>
              <w:t xml:space="preserve">Tipos de sistemas de clasificación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Texto descripción</w:t>
            </w:r>
          </w:p>
        </w:tc>
        <w:tc>
          <w:tcPr>
            <w:gridSpan w:val="2"/>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jc w:val="both"/>
              <w:rPr>
                <w:sz w:val="20"/>
                <w:szCs w:val="20"/>
              </w:rPr>
            </w:pPr>
            <w:r w:rsidDel="00000000" w:rsidR="00000000" w:rsidRPr="00000000">
              <w:rPr>
                <w:sz w:val="20"/>
                <w:szCs w:val="20"/>
                <w:rtl w:val="0"/>
              </w:rPr>
              <w:t xml:space="preserve">Ahora, detalle los tipos de sistemas de clasificación más usuales y recomendados. Recuerde tomar nota de los elementos más importantes, en su libreta personal de apuntes:</w:t>
            </w:r>
          </w:p>
        </w:tc>
      </w:tr>
      <w:tr>
        <w:trPr>
          <w:cantSplit w:val="0"/>
          <w:trHeight w:val="420"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Título </w:t>
            </w:r>
          </w:p>
        </w:tc>
        <w:tc>
          <w:tcPr>
            <w:shd w:fill="efefef"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Texto</w:t>
            </w:r>
          </w:p>
        </w:tc>
        <w:tc>
          <w:tcPr>
            <w:shd w:fill="efefef"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Imagen (Optativa)</w:t>
            </w:r>
          </w:p>
        </w:tc>
      </w:tr>
      <w:tr>
        <w:trPr>
          <w:cantSplit w:val="0"/>
          <w:trHeight w:val="5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b w:val="1"/>
              </w:rPr>
            </w:pPr>
            <w:r w:rsidDel="00000000" w:rsidR="00000000" w:rsidRPr="00000000">
              <w:rPr>
                <w:b w:val="1"/>
                <w:sz w:val="20"/>
                <w:szCs w:val="20"/>
                <w:rtl w:val="0"/>
              </w:rPr>
              <w:t xml:space="preserve">Clasificación Decimal Universal (CDU)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jc w:val="both"/>
              <w:rPr>
                <w:sz w:val="20"/>
                <w:szCs w:val="20"/>
              </w:rPr>
            </w:pPr>
            <w:r w:rsidDel="00000000" w:rsidR="00000000" w:rsidRPr="00000000">
              <w:rPr>
                <w:color w:val="001133"/>
                <w:sz w:val="20"/>
                <w:szCs w:val="20"/>
                <w:highlight w:val="white"/>
                <w:rtl w:val="0"/>
              </w:rPr>
              <w:t xml:space="preserve">Es un sistema de clasificación del conocimiento que nace de la necesidad de ordenar y catalogar las obras en las bibliotecas. </w:t>
            </w:r>
            <w:r w:rsidDel="00000000" w:rsidR="00000000" w:rsidRPr="00000000">
              <w:rPr>
                <w:sz w:val="20"/>
                <w:szCs w:val="20"/>
                <w:rtl w:val="0"/>
              </w:rPr>
              <w:t xml:space="preserve">Es un sistema con notación numérica, ordenado según el principio que rige en los números decimales. Emplea los números arábigos lo que posibilita su uso internacional. Abarca un ámbito temático universal.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18"/>
                <w:szCs w:val="18"/>
              </w:rPr>
            </w:pPr>
            <w:r w:rsidDel="00000000" w:rsidR="00000000" w:rsidRPr="00000000">
              <w:rPr/>
              <w:drawing>
                <wp:inline distB="0" distT="0" distL="0" distR="0">
                  <wp:extent cx="2090905" cy="1326232"/>
                  <wp:effectExtent b="0" l="0" r="0" t="0"/>
                  <wp:docPr id="14" name="image5.png"/>
                  <a:graphic>
                    <a:graphicData uri="http://schemas.openxmlformats.org/drawingml/2006/picture">
                      <pic:pic>
                        <pic:nvPicPr>
                          <pic:cNvPr id="0" name="image5.png"/>
                          <pic:cNvPicPr preferRelativeResize="0"/>
                        </pic:nvPicPr>
                        <pic:blipFill>
                          <a:blip r:embed="rId7"/>
                          <a:srcRect b="25322" l="2895" r="33775" t="3219"/>
                          <a:stretch>
                            <a:fillRect/>
                          </a:stretch>
                        </pic:blipFill>
                        <pic:spPr>
                          <a:xfrm>
                            <a:off x="0" y="0"/>
                            <a:ext cx="2090905" cy="13262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sz w:val="18"/>
                <w:szCs w:val="18"/>
              </w:rPr>
            </w:pPr>
            <w:r w:rsidDel="00000000" w:rsidR="00000000" w:rsidRPr="00000000">
              <w:rPr>
                <w:color w:val="ff0000"/>
                <w:sz w:val="18"/>
                <w:szCs w:val="18"/>
                <w:rtl w:val="0"/>
              </w:rPr>
              <w:t xml:space="preserve">Anexos: </w:t>
            </w:r>
            <w:r w:rsidDel="00000000" w:rsidR="00000000" w:rsidRPr="00000000">
              <w:rPr>
                <w:b w:val="1"/>
                <w:color w:val="ff0000"/>
                <w:sz w:val="18"/>
                <w:szCs w:val="18"/>
                <w:rtl w:val="0"/>
              </w:rPr>
              <w:t xml:space="preserve">TiposDeSistemasDeClasificacion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sz w:val="20"/>
                <w:szCs w:val="20"/>
                <w:rtl w:val="0"/>
              </w:rPr>
              <w:t xml:space="preserve">Clasificación Decimal Dewey (DDC)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Sus características básicas de división jerárquica en números decimales en base de 10 con dígitos de tres en tres. Es una clasificación enciclopédica y las materias se ordenan por disciplinas que también tienen jerarquía. </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sz w:val="18"/>
                <w:szCs w:val="18"/>
              </w:rPr>
            </w:pPr>
            <w:r w:rsidDel="00000000" w:rsidR="00000000" w:rsidRPr="00000000">
              <w:rPr/>
              <w:drawing>
                <wp:inline distB="0" distT="0" distL="0" distR="0">
                  <wp:extent cx="2058077" cy="1286298"/>
                  <wp:effectExtent b="0" l="0" r="0" t="0"/>
                  <wp:docPr id="16" name="image7.png"/>
                  <a:graphic>
                    <a:graphicData uri="http://schemas.openxmlformats.org/drawingml/2006/picture">
                      <pic:pic>
                        <pic:nvPicPr>
                          <pic:cNvPr id="0" name="image7.png"/>
                          <pic:cNvPicPr preferRelativeResize="0"/>
                        </pic:nvPicPr>
                        <pic:blipFill>
                          <a:blip r:embed="rId8"/>
                          <a:srcRect b="20815" l="18818" r="23281" t="14807"/>
                          <a:stretch>
                            <a:fillRect/>
                          </a:stretch>
                        </pic:blipFill>
                        <pic:spPr>
                          <a:xfrm>
                            <a:off x="0" y="0"/>
                            <a:ext cx="2058077" cy="12862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40" w:lineRule="auto"/>
              <w:rPr>
                <w:sz w:val="18"/>
                <w:szCs w:val="18"/>
              </w:rPr>
            </w:pPr>
            <w:r w:rsidDel="00000000" w:rsidR="00000000" w:rsidRPr="00000000">
              <w:rPr>
                <w:color w:val="ff0000"/>
                <w:sz w:val="18"/>
                <w:szCs w:val="18"/>
                <w:rtl w:val="0"/>
              </w:rPr>
              <w:t xml:space="preserve">Anexos: </w:t>
            </w:r>
            <w:r w:rsidDel="00000000" w:rsidR="00000000" w:rsidRPr="00000000">
              <w:rPr>
                <w:b w:val="1"/>
                <w:color w:val="ff0000"/>
                <w:sz w:val="18"/>
                <w:szCs w:val="18"/>
                <w:rtl w:val="0"/>
              </w:rPr>
              <w:t xml:space="preserve">TiposDeSistemasDeClasificacion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rPr>
            </w:pPr>
            <w:r w:rsidDel="00000000" w:rsidR="00000000" w:rsidRPr="00000000">
              <w:rPr>
                <w:b w:val="1"/>
                <w:sz w:val="20"/>
                <w:szCs w:val="20"/>
                <w:rtl w:val="0"/>
              </w:rPr>
              <w:t xml:space="preserve">Clasificación de la Library of Congress (LC)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el sistema compuesto de clasificaciones específicas e independientes para cada materia entre las que no existen interconexiones. La notación es alfabética utilizando letras mayúsculas para cada clase. Es un conjunto o serie de clasificaciones amplias y especializadas.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18"/>
                <w:szCs w:val="18"/>
              </w:rPr>
            </w:pPr>
            <w:r w:rsidDel="00000000" w:rsidR="00000000" w:rsidRPr="00000000">
              <w:rPr/>
              <w:drawing>
                <wp:inline distB="0" distT="0" distL="0" distR="0">
                  <wp:extent cx="2124075" cy="1390650"/>
                  <wp:effectExtent b="0" l="0" r="0" t="0"/>
                  <wp:docPr id="15" name="image6.png"/>
                  <a:graphic>
                    <a:graphicData uri="http://schemas.openxmlformats.org/drawingml/2006/picture">
                      <pic:pic>
                        <pic:nvPicPr>
                          <pic:cNvPr id="0" name="image6.png"/>
                          <pic:cNvPicPr preferRelativeResize="0"/>
                        </pic:nvPicPr>
                        <pic:blipFill>
                          <a:blip r:embed="rId9"/>
                          <a:srcRect b="6008" l="17008" r="15320" t="5151"/>
                          <a:stretch>
                            <a:fillRect/>
                          </a:stretch>
                        </pic:blipFill>
                        <pic:spPr>
                          <a:xfrm>
                            <a:off x="0" y="0"/>
                            <a:ext cx="21240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rPr>
                <w:sz w:val="18"/>
                <w:szCs w:val="18"/>
              </w:rPr>
            </w:pPr>
            <w:r w:rsidDel="00000000" w:rsidR="00000000" w:rsidRPr="00000000">
              <w:rPr>
                <w:color w:val="ff0000"/>
                <w:sz w:val="18"/>
                <w:szCs w:val="18"/>
                <w:rtl w:val="0"/>
              </w:rPr>
              <w:t xml:space="preserve">Anexos: </w:t>
            </w:r>
            <w:r w:rsidDel="00000000" w:rsidR="00000000" w:rsidRPr="00000000">
              <w:rPr>
                <w:b w:val="1"/>
                <w:color w:val="ff0000"/>
                <w:sz w:val="18"/>
                <w:szCs w:val="18"/>
                <w:rtl w:val="0"/>
              </w:rPr>
              <w:t xml:space="preserve">TiposDeSistemasDeClasificacion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b w:val="1"/>
              </w:rPr>
            </w:pPr>
            <w:r w:rsidDel="00000000" w:rsidR="00000000" w:rsidRPr="00000000">
              <w:rPr>
                <w:b w:val="1"/>
                <w:sz w:val="20"/>
                <w:szCs w:val="20"/>
                <w:rtl w:val="0"/>
              </w:rPr>
              <w:t xml:space="preserve">Clasificación de Bliss (BC)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Este sistema clasificatorio se basa en un esquema de ordenación por disciplinas suficientemente flexibles. El sistema de notación es alfabético con las letras mayúsculas y se utilizan números para notaciones de forma auxiliares. Es utilizado por las bibliotecas universitarias. Es un sistema de clasificación que divide cada disciplina desde cuatro puntos de vista: filosófico, teórico, histórico y práctico.</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18"/>
                <w:szCs w:val="18"/>
              </w:rPr>
            </w:pPr>
            <w:r w:rsidDel="00000000" w:rsidR="00000000" w:rsidRPr="00000000">
              <w:rPr/>
              <w:drawing>
                <wp:inline distB="0" distT="0" distL="0" distR="0">
                  <wp:extent cx="2467957" cy="1425293"/>
                  <wp:effectExtent b="0" l="0" r="0" t="0"/>
                  <wp:docPr id="18" name="image4.png"/>
                  <a:graphic>
                    <a:graphicData uri="http://schemas.openxmlformats.org/drawingml/2006/picture">
                      <pic:pic>
                        <pic:nvPicPr>
                          <pic:cNvPr id="0" name="image4.png"/>
                          <pic:cNvPicPr preferRelativeResize="0"/>
                        </pic:nvPicPr>
                        <pic:blipFill>
                          <a:blip r:embed="rId10"/>
                          <a:srcRect b="18884" l="19542" r="12423" t="15451"/>
                          <a:stretch>
                            <a:fillRect/>
                          </a:stretch>
                        </pic:blipFill>
                        <pic:spPr>
                          <a:xfrm>
                            <a:off x="0" y="0"/>
                            <a:ext cx="2467957" cy="14252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sz w:val="18"/>
                <w:szCs w:val="18"/>
              </w:rPr>
            </w:pPr>
            <w:r w:rsidDel="00000000" w:rsidR="00000000" w:rsidRPr="00000000">
              <w:rPr>
                <w:color w:val="ff0000"/>
                <w:sz w:val="18"/>
                <w:szCs w:val="18"/>
                <w:rtl w:val="0"/>
              </w:rPr>
              <w:t xml:space="preserve">Anexos: </w:t>
            </w:r>
            <w:r w:rsidDel="00000000" w:rsidR="00000000" w:rsidRPr="00000000">
              <w:rPr>
                <w:b w:val="1"/>
                <w:color w:val="ff0000"/>
                <w:sz w:val="18"/>
                <w:szCs w:val="18"/>
                <w:rtl w:val="0"/>
              </w:rPr>
              <w:t xml:space="preserve">TiposDeSistemasDeClasificacion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sz w:val="20"/>
                <w:szCs w:val="20"/>
                <w:rtl w:val="0"/>
              </w:rPr>
              <w:t xml:space="preserve">Clasificación Colonada de Ranganathan CC</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Es un sistema jerárquico, que aplica el principio de los números decimales para sistematizar las subdivisiones de las clases. Las clases principales están agrupadas en 10 grupos temáticos que intentan abarcar todas las disciplinas científicas. Utiliza un código numérico.</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sz w:val="18"/>
                <w:szCs w:val="18"/>
              </w:rPr>
            </w:pPr>
            <w:r w:rsidDel="00000000" w:rsidR="00000000" w:rsidRPr="00000000">
              <w:rPr/>
              <w:drawing>
                <wp:inline distB="0" distT="0" distL="0" distR="0">
                  <wp:extent cx="2266950" cy="1479550"/>
                  <wp:effectExtent b="0" l="0" r="0" t="0"/>
                  <wp:docPr id="17" name="image1.png"/>
                  <a:graphic>
                    <a:graphicData uri="http://schemas.openxmlformats.org/drawingml/2006/picture">
                      <pic:pic>
                        <pic:nvPicPr>
                          <pic:cNvPr id="0" name="image1.png"/>
                          <pic:cNvPicPr preferRelativeResize="0"/>
                        </pic:nvPicPr>
                        <pic:blipFill>
                          <a:blip r:embed="rId11"/>
                          <a:srcRect b="0" l="8685" r="11339" t="0"/>
                          <a:stretch>
                            <a:fillRect/>
                          </a:stretch>
                        </pic:blipFill>
                        <pic:spPr>
                          <a:xfrm>
                            <a:off x="0" y="0"/>
                            <a:ext cx="2266950" cy="1479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rPr>
                <w:sz w:val="18"/>
                <w:szCs w:val="18"/>
              </w:rPr>
            </w:pPr>
            <w:r w:rsidDel="00000000" w:rsidR="00000000" w:rsidRPr="00000000">
              <w:rPr>
                <w:color w:val="ff0000"/>
                <w:sz w:val="18"/>
                <w:szCs w:val="18"/>
                <w:rtl w:val="0"/>
              </w:rPr>
              <w:t xml:space="preserve">Anexos: </w:t>
            </w:r>
            <w:r w:rsidDel="00000000" w:rsidR="00000000" w:rsidRPr="00000000">
              <w:rPr>
                <w:b w:val="1"/>
                <w:color w:val="ff0000"/>
                <w:sz w:val="18"/>
                <w:szCs w:val="18"/>
                <w:rtl w:val="0"/>
              </w:rPr>
              <w:t xml:space="preserve">TiposDeSistemasDeClasificacion</w:t>
            </w:r>
            <w:r w:rsidDel="00000000" w:rsidR="00000000" w:rsidRPr="00000000">
              <w:rPr>
                <w:rtl w:val="0"/>
              </w:rPr>
            </w:r>
          </w:p>
        </w:tc>
      </w:tr>
    </w:tbl>
    <w:p w:rsidR="00000000" w:rsidDel="00000000" w:rsidP="00000000" w:rsidRDefault="00000000" w:rsidRPr="00000000" w14:paraId="00000022">
      <w:pPr>
        <w:spacing w:line="240" w:lineRule="auto"/>
        <w:rPr>
          <w:b w:val="1"/>
        </w:rPr>
      </w:pPr>
      <w:r w:rsidDel="00000000" w:rsidR="00000000" w:rsidRPr="00000000">
        <w:rPr>
          <w:rtl w:val="0"/>
        </w:rPr>
      </w:r>
    </w:p>
    <w:sectPr>
      <w:headerReference r:id="rId12" w:type="default"/>
      <w:footerReference r:id="rId13"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-457198</wp:posOffset>
          </wp:positionH>
          <wp:positionV relativeFrom="paragraph">
            <wp:posOffset>-457197</wp:posOffset>
          </wp:positionV>
          <wp:extent cx="10128885" cy="13906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1"/>
                  <a:srcRect b="34234" l="0" r="0" t="0"/>
                  <a:stretch>
                    <a:fillRect/>
                  </a:stretch>
                </pic:blipFill>
                <pic:spPr>
                  <a:xfrm>
                    <a:off x="0" y="0"/>
                    <a:ext cx="10128885" cy="139065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48350" cy="1426439"/>
              <wp:effectExtent b="0" l="0" r="0" t="0"/>
              <wp:wrapSquare wrapText="bothSides" distB="45720" distT="45720" distL="114300" distR="114300"/>
              <wp:docPr id="12"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48350" cy="1426439"/>
              <wp:effectExtent b="0" l="0" r="0" t="0"/>
              <wp:wrapSquare wrapText="bothSides" distB="45720" distT="45720" distL="114300" distR="114300"/>
              <wp:docPr id="1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48350" cy="1426439"/>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880536"/>
    <w:pPr>
      <w:ind w:left="720"/>
      <w:contextualSpacing w:val="1"/>
    </w:pPr>
    <w:rPr>
      <w:lang w:val="es-CO"/>
    </w:rPr>
  </w:style>
  <w:style w:type="character" w:styleId="Hipervnculo">
    <w:name w:val="Hyperlink"/>
    <w:basedOn w:val="Fuentedeprrafopredeter"/>
    <w:uiPriority w:val="99"/>
    <w:unhideWhenUsed w:val="1"/>
    <w:rsid w:val="00643044"/>
    <w:rPr>
      <w:color w:val="0000ff" w:themeColor="hyperlink"/>
      <w:u w:val="single"/>
    </w:rPr>
  </w:style>
  <w:style w:type="character" w:styleId="Mencinsinresolver">
    <w:name w:val="Unresolved Mention"/>
    <w:basedOn w:val="Fuentedeprrafopredeter"/>
    <w:uiPriority w:val="99"/>
    <w:semiHidden w:val="1"/>
    <w:unhideWhenUsed w:val="1"/>
    <w:rsid w:val="00643044"/>
    <w:rPr>
      <w:color w:val="605e5c"/>
      <w:shd w:color="auto" w:fill="e1dfdd" w:val="clear"/>
    </w:rPr>
  </w:style>
  <w:style w:type="paragraph" w:styleId="Revisin">
    <w:name w:val="Revision"/>
    <w:hidden w:val="1"/>
    <w:uiPriority w:val="99"/>
    <w:semiHidden w:val="1"/>
    <w:rsid w:val="0049684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2RX8j6fYt7NPTCtWFYHBvALopQ==">AMUW2mXCdJTKgP761JnGw1oARuhZ9aIIMN0o7UYClzDRhMStxTKjPYZKbBvMI4TYaSCkAw8JA5XZZwziOAhx15I0cpkI9JUFEyDl7PM0HK8iNMpedDrGIUU=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2022-10-12T23:17:00Z</dcterms:created>
  <dc:creator>user</dc:creator>
</cp:coreProperties>
</file>