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6F08" w14:textId="76F217B3" w:rsidR="005A548B" w:rsidRPr="005A548B" w:rsidRDefault="005A548B" w:rsidP="005A548B">
      <w:pPr>
        <w:jc w:val="center"/>
        <w:rPr>
          <w:b/>
          <w:bCs/>
          <w:lang w:val="es-CO"/>
        </w:rPr>
      </w:pPr>
      <w:r w:rsidRPr="005A548B">
        <w:rPr>
          <w:b/>
          <w:bCs/>
          <w:lang w:val="es-CO"/>
        </w:rPr>
        <w:t xml:space="preserve">Ajustes </w:t>
      </w:r>
      <w:proofErr w:type="spellStart"/>
      <w:r w:rsidRPr="005A548B">
        <w:rPr>
          <w:b/>
          <w:bCs/>
          <w:lang w:val="es-CO"/>
        </w:rPr>
        <w:t>CF0</w:t>
      </w:r>
      <w:r>
        <w:rPr>
          <w:b/>
          <w:bCs/>
          <w:lang w:val="es-CO"/>
        </w:rPr>
        <w:t>8</w:t>
      </w:r>
      <w:proofErr w:type="spellEnd"/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7476"/>
        <w:gridCol w:w="5844"/>
      </w:tblGrid>
      <w:tr w:rsidR="00C409B1" w:rsidRPr="005A548B" w14:paraId="1F6E4D6D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51D909A" w14:textId="77777777" w:rsidR="005A548B" w:rsidRPr="005A548B" w:rsidRDefault="005A548B" w:rsidP="005A548B">
            <w:pPr>
              <w:spacing w:after="160" w:line="259" w:lineRule="auto"/>
              <w:rPr>
                <w:b/>
                <w:bCs/>
                <w:lang w:val="es-CO"/>
              </w:rPr>
            </w:pPr>
            <w:r w:rsidRPr="005A548B">
              <w:rPr>
                <w:b/>
                <w:bCs/>
                <w:lang w:val="es-CO"/>
              </w:rPr>
              <w:t>Ajuste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A411FD1" w14:textId="77777777" w:rsidR="005A548B" w:rsidRPr="005A548B" w:rsidRDefault="005A548B" w:rsidP="005A548B">
            <w:pPr>
              <w:spacing w:after="160" w:line="259" w:lineRule="auto"/>
              <w:rPr>
                <w:b/>
                <w:bCs/>
                <w:lang w:val="es-CO"/>
              </w:rPr>
            </w:pPr>
            <w:r w:rsidRPr="005A548B">
              <w:rPr>
                <w:b/>
                <w:bCs/>
                <w:lang w:val="es-CO"/>
              </w:rPr>
              <w:t>Descripción</w:t>
            </w:r>
          </w:p>
        </w:tc>
      </w:tr>
      <w:tr w:rsidR="00C409B1" w:rsidRPr="005A548B" w14:paraId="4062D465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4605" w14:textId="6CF6F783" w:rsidR="005A548B" w:rsidRDefault="005A0816" w:rsidP="005A548B">
            <w:pPr>
              <w:spacing w:after="160" w:line="259" w:lineRule="auto"/>
              <w:rPr>
                <w:lang w:val="es-CO"/>
              </w:rPr>
            </w:pPr>
            <w:r>
              <w:rPr>
                <w:lang w:val="es-CO"/>
              </w:rPr>
              <w:t>Introducción antes del video</w:t>
            </w:r>
          </w:p>
          <w:p w14:paraId="4CF73983" w14:textId="506DA917" w:rsidR="005A0816" w:rsidRPr="005A548B" w:rsidRDefault="005A0816" w:rsidP="005A548B">
            <w:pPr>
              <w:spacing w:after="160" w:line="259" w:lineRule="auto"/>
              <w:rPr>
                <w:lang w:val="es-CO"/>
              </w:rPr>
            </w:pPr>
            <w:r w:rsidRPr="005A0816">
              <w:rPr>
                <w:noProof/>
                <w:lang w:val="es-CO"/>
              </w:rPr>
              <w:drawing>
                <wp:inline distT="0" distB="0" distL="0" distR="0" wp14:anchorId="19FCB671" wp14:editId="679F8EF9">
                  <wp:extent cx="2828925" cy="1742383"/>
                  <wp:effectExtent l="0" t="0" r="0" b="0"/>
                  <wp:docPr id="1417109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0935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13" cy="174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F055" w14:textId="77777777" w:rsidR="005A548B" w:rsidRPr="009D6274" w:rsidRDefault="005A0816" w:rsidP="005A548B">
            <w:pPr>
              <w:spacing w:after="160" w:line="259" w:lineRule="auto"/>
              <w:rPr>
                <w:b/>
                <w:bCs/>
                <w:lang w:val="es-CO"/>
              </w:rPr>
            </w:pPr>
            <w:r w:rsidRPr="009D6274">
              <w:rPr>
                <w:b/>
                <w:bCs/>
                <w:color w:val="FF0000"/>
                <w:lang w:val="es-CO"/>
              </w:rPr>
              <w:t xml:space="preserve">Introducción: </w:t>
            </w:r>
          </w:p>
          <w:p w14:paraId="4366233E" w14:textId="580532CD" w:rsidR="005A0816" w:rsidRPr="005A548B" w:rsidRDefault="009D6274" w:rsidP="005A548B">
            <w:pPr>
              <w:spacing w:after="160" w:line="259" w:lineRule="auto"/>
              <w:rPr>
                <w:lang w:val="es-CO"/>
              </w:rPr>
            </w:pPr>
            <w:r w:rsidRPr="009D6274">
              <w:t>La Propiedad, Planta y Equipo (</w:t>
            </w:r>
            <w:proofErr w:type="spellStart"/>
            <w:r w:rsidRPr="009D6274">
              <w:t>PPYE</w:t>
            </w:r>
            <w:proofErr w:type="spellEnd"/>
            <w:r w:rsidRPr="009D6274">
              <w:t>) se reconoce por su costo inicial, el cual incluye todos los desembolsos necesarios para poner el activo en condiciones de uso. Posteriormente, se mide al costo menos la depreciación acumulada y cualquier pérdida por deterioro. La depreciación se calcula de forma sistemática según la vida útil estimada de cada activo. Estos se dan de baja del balance cuando se venden, reemplazan o dejan de generar beneficios económicos.</w:t>
            </w:r>
          </w:p>
        </w:tc>
      </w:tr>
      <w:tr w:rsidR="00C409B1" w:rsidRPr="005A548B" w14:paraId="4A6A098F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D2BC" w14:textId="77777777" w:rsidR="005A548B" w:rsidRDefault="00B92AB0" w:rsidP="005A548B">
            <w:pPr>
              <w:spacing w:after="160" w:line="259" w:lineRule="auto"/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t>Colocar titulo</w:t>
            </w:r>
          </w:p>
          <w:p w14:paraId="2A7AFC7C" w14:textId="122FE151" w:rsidR="00B92AB0" w:rsidRPr="005A548B" w:rsidRDefault="00B92AB0" w:rsidP="005A548B">
            <w:pPr>
              <w:spacing w:after="160" w:line="259" w:lineRule="auto"/>
              <w:rPr>
                <w:lang w:val="es-CO"/>
              </w:rPr>
            </w:pPr>
            <w:r w:rsidRPr="00B92AB0">
              <w:rPr>
                <w:noProof/>
                <w:lang w:val="es-CO"/>
              </w:rPr>
              <w:drawing>
                <wp:inline distT="0" distB="0" distL="0" distR="0" wp14:anchorId="51E39639" wp14:editId="793543BD">
                  <wp:extent cx="1308136" cy="2314575"/>
                  <wp:effectExtent l="0" t="0" r="6350" b="0"/>
                  <wp:docPr id="288331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3318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75" cy="231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A10" w14:textId="65191C6F" w:rsidR="005A548B" w:rsidRPr="005A548B" w:rsidRDefault="00B92AB0" w:rsidP="005A548B">
            <w:pPr>
              <w:spacing w:after="160" w:line="259" w:lineRule="auto"/>
              <w:rPr>
                <w:lang w:val="es-CO"/>
              </w:rPr>
            </w:pPr>
            <w:r w:rsidRPr="00B92AB0">
              <w:rPr>
                <w:b/>
                <w:bCs/>
                <w:lang w:val="es-CO"/>
              </w:rPr>
              <w:t xml:space="preserve">Tabla 1. </w:t>
            </w:r>
            <w:r w:rsidRPr="00B92AB0">
              <w:t>Tasas de depreciación fiscal anual por tipo de bien</w:t>
            </w:r>
          </w:p>
        </w:tc>
      </w:tr>
      <w:tr w:rsidR="00993E43" w:rsidRPr="005A548B" w14:paraId="2CC7E1AC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279E" w14:textId="0093DA9C" w:rsidR="00F95A11" w:rsidRDefault="00E07388" w:rsidP="005A548B">
            <w:pPr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lastRenderedPageBreak/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 </w:t>
            </w:r>
          </w:p>
          <w:p w14:paraId="0403670F" w14:textId="2A4C8222" w:rsidR="00B92AB0" w:rsidRDefault="00F95A11" w:rsidP="005A548B">
            <w:pPr>
              <w:rPr>
                <w:lang w:val="es-CO"/>
              </w:rPr>
            </w:pPr>
            <w:r w:rsidRPr="00F95A11">
              <w:rPr>
                <w:noProof/>
                <w:lang w:val="es-CO"/>
              </w:rPr>
              <w:drawing>
                <wp:inline distT="0" distB="0" distL="0" distR="0" wp14:anchorId="4C8C8880" wp14:editId="29AF8DDD">
                  <wp:extent cx="2657475" cy="2838450"/>
                  <wp:effectExtent l="0" t="0" r="9525" b="0"/>
                  <wp:docPr id="113231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31008" name=""/>
                          <pic:cNvPicPr/>
                        </pic:nvPicPr>
                        <pic:blipFill rotWithShape="1">
                          <a:blip r:embed="rId6"/>
                          <a:srcRect r="60979"/>
                          <a:stretch/>
                        </pic:blipFill>
                        <pic:spPr bwMode="auto">
                          <a:xfrm>
                            <a:off x="0" y="0"/>
                            <a:ext cx="2657846" cy="2838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A7F1" w14:textId="77777777" w:rsidR="00E07388" w:rsidRDefault="00E07388" w:rsidP="00E07388">
            <w:pPr>
              <w:rPr>
                <w:b/>
                <w:bCs/>
              </w:rPr>
            </w:pPr>
          </w:p>
          <w:p w14:paraId="75D8FE92" w14:textId="2B1B3E57" w:rsidR="00E07388" w:rsidRDefault="00E07388" w:rsidP="00E073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2. </w:t>
            </w:r>
            <w:r w:rsidRPr="00E07388">
              <w:rPr>
                <w:b/>
                <w:bCs/>
              </w:rPr>
              <w:t>Reconocimiento del activo de propiedad, planta y equipo</w:t>
            </w:r>
          </w:p>
          <w:p w14:paraId="7DC3A13C" w14:textId="77777777" w:rsidR="00E07388" w:rsidRPr="00E07388" w:rsidRDefault="00E07388" w:rsidP="00E07388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9"/>
              <w:gridCol w:w="1226"/>
            </w:tblGrid>
            <w:tr w:rsidR="00E07388" w:rsidRPr="00E07388" w14:paraId="24CCD6FF" w14:textId="77777777" w:rsidTr="00E07388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20AB0FA4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D83CFEE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Valor</w:t>
                  </w:r>
                </w:p>
              </w:tc>
            </w:tr>
            <w:tr w:rsidR="00E07388" w:rsidRPr="00E07388" w14:paraId="20F07DE0" w14:textId="77777777" w:rsidTr="00E07388">
              <w:tc>
                <w:tcPr>
                  <w:tcW w:w="0" w:type="auto"/>
                  <w:hideMark/>
                </w:tcPr>
                <w:p w14:paraId="6160BFF0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Maquinaria</w:t>
                  </w:r>
                </w:p>
              </w:tc>
              <w:tc>
                <w:tcPr>
                  <w:tcW w:w="0" w:type="auto"/>
                  <w:hideMark/>
                </w:tcPr>
                <w:p w14:paraId="57B04915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$3.000.000</w:t>
                  </w:r>
                </w:p>
              </w:tc>
            </w:tr>
            <w:tr w:rsidR="00E07388" w:rsidRPr="00E07388" w14:paraId="0F0A001B" w14:textId="77777777" w:rsidTr="00E07388">
              <w:tc>
                <w:tcPr>
                  <w:tcW w:w="0" w:type="auto"/>
                  <w:hideMark/>
                </w:tcPr>
                <w:p w14:paraId="4519CCA5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Fletes</w:t>
                  </w:r>
                </w:p>
              </w:tc>
              <w:tc>
                <w:tcPr>
                  <w:tcW w:w="0" w:type="auto"/>
                  <w:hideMark/>
                </w:tcPr>
                <w:p w14:paraId="09CCC0B8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$150.000</w:t>
                  </w:r>
                </w:p>
              </w:tc>
            </w:tr>
            <w:tr w:rsidR="00E07388" w:rsidRPr="00E07388" w14:paraId="72276A5F" w14:textId="77777777" w:rsidTr="00E07388">
              <w:tc>
                <w:tcPr>
                  <w:tcW w:w="0" w:type="auto"/>
                  <w:hideMark/>
                </w:tcPr>
                <w:p w14:paraId="0DB2B433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IVA 19 %</w:t>
                  </w:r>
                </w:p>
              </w:tc>
              <w:tc>
                <w:tcPr>
                  <w:tcW w:w="0" w:type="auto"/>
                  <w:hideMark/>
                </w:tcPr>
                <w:p w14:paraId="1BB7B856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$598.500</w:t>
                  </w:r>
                </w:p>
              </w:tc>
            </w:tr>
            <w:tr w:rsidR="00E07388" w:rsidRPr="00E07388" w14:paraId="01CFF983" w14:textId="77777777" w:rsidTr="00E07388">
              <w:tc>
                <w:tcPr>
                  <w:tcW w:w="0" w:type="auto"/>
                  <w:hideMark/>
                </w:tcPr>
                <w:p w14:paraId="6D28A204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proofErr w:type="spellStart"/>
                  <w:r w:rsidRPr="00E07388">
                    <w:rPr>
                      <w:b/>
                      <w:bCs/>
                    </w:rPr>
                    <w:t>Retefuente</w:t>
                  </w:r>
                  <w:proofErr w:type="spellEnd"/>
                  <w:r w:rsidRPr="00E07388">
                    <w:rPr>
                      <w:b/>
                      <w:bCs/>
                    </w:rPr>
                    <w:t xml:space="preserve"> 2.5 %</w:t>
                  </w:r>
                </w:p>
              </w:tc>
              <w:tc>
                <w:tcPr>
                  <w:tcW w:w="0" w:type="auto"/>
                  <w:hideMark/>
                </w:tcPr>
                <w:p w14:paraId="4ADC55AF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$78.750</w:t>
                  </w:r>
                </w:p>
              </w:tc>
            </w:tr>
          </w:tbl>
          <w:p w14:paraId="4A7D4C86" w14:textId="77777777" w:rsidR="00E07388" w:rsidRDefault="00E07388" w:rsidP="00E07388">
            <w:pPr>
              <w:rPr>
                <w:b/>
                <w:bCs/>
              </w:rPr>
            </w:pPr>
          </w:p>
          <w:p w14:paraId="22A3CF63" w14:textId="3A072C4E" w:rsidR="00E07388" w:rsidRPr="00E07388" w:rsidRDefault="00E07388" w:rsidP="00E073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3. </w:t>
            </w:r>
            <w:r w:rsidRPr="00E07388">
              <w:rPr>
                <w:b/>
                <w:bCs/>
              </w:rPr>
              <w:t>Costo estimado de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056"/>
            </w:tblGrid>
            <w:tr w:rsidR="00E07388" w:rsidRPr="00E07388" w14:paraId="3EDD2CA1" w14:textId="77777777" w:rsidTr="00E07388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157D6AC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Cálculo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21D33677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Valor</w:t>
                  </w:r>
                </w:p>
              </w:tc>
            </w:tr>
            <w:tr w:rsidR="00E07388" w:rsidRPr="00E07388" w14:paraId="5DB2134E" w14:textId="77777777" w:rsidTr="00E07388">
              <w:tc>
                <w:tcPr>
                  <w:tcW w:w="0" w:type="auto"/>
                  <w:hideMark/>
                </w:tcPr>
                <w:p w14:paraId="4605E0B6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 xml:space="preserve">VP = </w:t>
                  </w:r>
                  <w:proofErr w:type="spellStart"/>
                  <w:r w:rsidRPr="00E07388">
                    <w:rPr>
                      <w:b/>
                      <w:bCs/>
                    </w:rPr>
                    <w:t>VF</w:t>
                  </w:r>
                  <w:proofErr w:type="spellEnd"/>
                  <w:r w:rsidRPr="00E07388">
                    <w:rPr>
                      <w:b/>
                      <w:bCs/>
                    </w:rPr>
                    <w:t xml:space="preserve"> / (1 + </w:t>
                  </w:r>
                  <w:proofErr w:type="gramStart"/>
                  <w:r w:rsidRPr="00E07388">
                    <w:rPr>
                      <w:b/>
                      <w:bCs/>
                    </w:rPr>
                    <w:t>i)^</w:t>
                  </w:r>
                  <w:proofErr w:type="gramEnd"/>
                  <w:r w:rsidRPr="00E07388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hideMark/>
                </w:tcPr>
                <w:p w14:paraId="6A8A7B88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$422.411</w:t>
                  </w:r>
                </w:p>
              </w:tc>
            </w:tr>
          </w:tbl>
          <w:p w14:paraId="11956EC9" w14:textId="77777777" w:rsidR="00B92AB0" w:rsidRPr="00B92AB0" w:rsidRDefault="00B92AB0" w:rsidP="005A548B">
            <w:pPr>
              <w:rPr>
                <w:b/>
                <w:bCs/>
                <w:lang w:val="es-CO"/>
              </w:rPr>
            </w:pPr>
          </w:p>
        </w:tc>
      </w:tr>
      <w:tr w:rsidR="00993E43" w:rsidRPr="005A548B" w14:paraId="23DD13F3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FB96" w14:textId="47698379" w:rsidR="00F95A11" w:rsidRDefault="00E07388" w:rsidP="005A548B">
            <w:pPr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3F8241E1" w14:textId="77777777" w:rsidR="00B92AB0" w:rsidRDefault="00F95A11" w:rsidP="005A548B">
            <w:pPr>
              <w:rPr>
                <w:lang w:val="es-CO"/>
              </w:rPr>
            </w:pPr>
            <w:r w:rsidRPr="00F95A11">
              <w:rPr>
                <w:noProof/>
                <w:lang w:val="es-CO"/>
              </w:rPr>
              <w:drawing>
                <wp:inline distT="0" distB="0" distL="0" distR="0" wp14:anchorId="67D732C6" wp14:editId="237FBF11">
                  <wp:extent cx="3044638" cy="1809750"/>
                  <wp:effectExtent l="0" t="0" r="3810" b="0"/>
                  <wp:docPr id="207573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735424" name=""/>
                          <pic:cNvPicPr/>
                        </pic:nvPicPr>
                        <pic:blipFill rotWithShape="1">
                          <a:blip r:embed="rId6"/>
                          <a:srcRect l="40000" b="14429"/>
                          <a:stretch/>
                        </pic:blipFill>
                        <pic:spPr bwMode="auto">
                          <a:xfrm>
                            <a:off x="0" y="0"/>
                            <a:ext cx="3049281" cy="181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1B095A" w14:textId="77777777" w:rsidR="00E07388" w:rsidRDefault="00E07388" w:rsidP="005A548B">
            <w:pPr>
              <w:rPr>
                <w:lang w:val="es-CO"/>
              </w:rPr>
            </w:pPr>
          </w:p>
          <w:p w14:paraId="57437AF2" w14:textId="2E0DB59C" w:rsidR="00E07388" w:rsidRDefault="00E07388" w:rsidP="005A548B">
            <w:pPr>
              <w:rPr>
                <w:lang w:val="es-CO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6EE0" w14:textId="77777777" w:rsidR="00B92AB0" w:rsidRDefault="00B92AB0" w:rsidP="005A548B">
            <w:pPr>
              <w:rPr>
                <w:b/>
                <w:bCs/>
                <w:lang w:val="es-CO"/>
              </w:rPr>
            </w:pPr>
          </w:p>
          <w:p w14:paraId="63DF01A0" w14:textId="59127B32" w:rsidR="00E07388" w:rsidRPr="00E07388" w:rsidRDefault="00E07388" w:rsidP="00E073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4. </w:t>
            </w:r>
            <w:r w:rsidRPr="00E07388">
              <w:rPr>
                <w:b/>
                <w:bCs/>
              </w:rPr>
              <w:t>Medición inicial del activo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280"/>
              <w:gridCol w:w="1226"/>
              <w:gridCol w:w="1226"/>
            </w:tblGrid>
            <w:tr w:rsidR="00E07388" w:rsidRPr="00E07388" w14:paraId="0327E85A" w14:textId="77777777" w:rsidTr="00E07388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D4E5381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0E669C9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6275097A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EF975C5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Crédito</w:t>
                  </w:r>
                </w:p>
              </w:tc>
            </w:tr>
            <w:tr w:rsidR="00E07388" w:rsidRPr="00E07388" w14:paraId="398BC5CE" w14:textId="77777777" w:rsidTr="00E07388">
              <w:tc>
                <w:tcPr>
                  <w:tcW w:w="0" w:type="auto"/>
                  <w:hideMark/>
                </w:tcPr>
                <w:p w14:paraId="2D0979BF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152001</w:t>
                  </w:r>
                </w:p>
              </w:tc>
              <w:tc>
                <w:tcPr>
                  <w:tcW w:w="0" w:type="auto"/>
                  <w:hideMark/>
                </w:tcPr>
                <w:p w14:paraId="5F905EF1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Maquinaria y equipo</w:t>
                  </w:r>
                </w:p>
              </w:tc>
              <w:tc>
                <w:tcPr>
                  <w:tcW w:w="0" w:type="auto"/>
                  <w:hideMark/>
                </w:tcPr>
                <w:p w14:paraId="40972A21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$4.170.911</w:t>
                  </w:r>
                </w:p>
              </w:tc>
              <w:tc>
                <w:tcPr>
                  <w:tcW w:w="0" w:type="auto"/>
                  <w:hideMark/>
                </w:tcPr>
                <w:p w14:paraId="02380105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</w:p>
              </w:tc>
            </w:tr>
            <w:tr w:rsidR="00E07388" w:rsidRPr="00E07388" w14:paraId="4B5475C9" w14:textId="77777777" w:rsidTr="00E07388">
              <w:tc>
                <w:tcPr>
                  <w:tcW w:w="0" w:type="auto"/>
                  <w:hideMark/>
                </w:tcPr>
                <w:p w14:paraId="42303107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236540</w:t>
                  </w:r>
                </w:p>
              </w:tc>
              <w:tc>
                <w:tcPr>
                  <w:tcW w:w="0" w:type="auto"/>
                  <w:hideMark/>
                </w:tcPr>
                <w:p w14:paraId="4DD5A512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proofErr w:type="spellStart"/>
                  <w:r w:rsidRPr="00E07388">
                    <w:rPr>
                      <w:b/>
                      <w:bCs/>
                    </w:rPr>
                    <w:t>Retefuente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82A80FA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A2BDB4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$78.750</w:t>
                  </w:r>
                </w:p>
              </w:tc>
            </w:tr>
            <w:tr w:rsidR="00E07388" w:rsidRPr="00E07388" w14:paraId="420049F8" w14:textId="77777777" w:rsidTr="00E07388">
              <w:tc>
                <w:tcPr>
                  <w:tcW w:w="0" w:type="auto"/>
                  <w:hideMark/>
                </w:tcPr>
                <w:p w14:paraId="0237803B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299501</w:t>
                  </w:r>
                </w:p>
              </w:tc>
              <w:tc>
                <w:tcPr>
                  <w:tcW w:w="0" w:type="auto"/>
                  <w:hideMark/>
                </w:tcPr>
                <w:p w14:paraId="263F139A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Provisión por desmantelamiento</w:t>
                  </w:r>
                </w:p>
              </w:tc>
              <w:tc>
                <w:tcPr>
                  <w:tcW w:w="0" w:type="auto"/>
                  <w:hideMark/>
                </w:tcPr>
                <w:p w14:paraId="5CDFCF51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213523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$422.411</w:t>
                  </w:r>
                </w:p>
              </w:tc>
            </w:tr>
            <w:tr w:rsidR="00E07388" w:rsidRPr="00E07388" w14:paraId="52E0C8ED" w14:textId="77777777" w:rsidTr="00E07388">
              <w:tc>
                <w:tcPr>
                  <w:tcW w:w="0" w:type="auto"/>
                  <w:hideMark/>
                </w:tcPr>
                <w:p w14:paraId="20228929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67F4AA1B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Costos y gastos por pagar</w:t>
                  </w:r>
                </w:p>
              </w:tc>
              <w:tc>
                <w:tcPr>
                  <w:tcW w:w="0" w:type="auto"/>
                  <w:hideMark/>
                </w:tcPr>
                <w:p w14:paraId="302EC133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B690E1" w14:textId="77777777" w:rsidR="00E07388" w:rsidRPr="00E07388" w:rsidRDefault="00E07388" w:rsidP="00E07388">
                  <w:pPr>
                    <w:rPr>
                      <w:b/>
                      <w:bCs/>
                    </w:rPr>
                  </w:pPr>
                  <w:r w:rsidRPr="00E07388">
                    <w:rPr>
                      <w:b/>
                      <w:bCs/>
                    </w:rPr>
                    <w:t>$3.669.750</w:t>
                  </w:r>
                </w:p>
              </w:tc>
            </w:tr>
          </w:tbl>
          <w:p w14:paraId="52D08076" w14:textId="77777777" w:rsidR="00E07388" w:rsidRPr="00B92AB0" w:rsidRDefault="00E07388" w:rsidP="005A548B">
            <w:pPr>
              <w:rPr>
                <w:b/>
                <w:bCs/>
                <w:lang w:val="es-CO"/>
              </w:rPr>
            </w:pPr>
          </w:p>
        </w:tc>
      </w:tr>
      <w:tr w:rsidR="00993E43" w:rsidRPr="005A548B" w14:paraId="49F6E4F2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5FD" w14:textId="77777777" w:rsidR="00B92AB0" w:rsidRDefault="00B92AB0" w:rsidP="005A548B">
            <w:pPr>
              <w:rPr>
                <w:lang w:val="es-CO"/>
              </w:rPr>
            </w:pPr>
          </w:p>
          <w:p w14:paraId="56A85387" w14:textId="129939F0" w:rsidR="008C50C9" w:rsidRDefault="008C50C9" w:rsidP="005A548B">
            <w:pPr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lastRenderedPageBreak/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6100A888" w14:textId="77777777" w:rsidR="00E5688E" w:rsidRDefault="00E5688E" w:rsidP="005A548B">
            <w:pPr>
              <w:rPr>
                <w:lang w:val="es-CO"/>
              </w:rPr>
            </w:pPr>
          </w:p>
          <w:p w14:paraId="36BF3B4F" w14:textId="4896C4D9" w:rsidR="008C50C9" w:rsidRDefault="008C50C9" w:rsidP="005A548B">
            <w:pPr>
              <w:rPr>
                <w:lang w:val="es-CO"/>
              </w:rPr>
            </w:pPr>
            <w:r w:rsidRPr="008C50C9">
              <w:rPr>
                <w:noProof/>
                <w:lang w:val="es-CO"/>
              </w:rPr>
              <w:drawing>
                <wp:inline distT="0" distB="0" distL="0" distR="0" wp14:anchorId="5B0AA1A8" wp14:editId="7D8073C5">
                  <wp:extent cx="3276600" cy="2000617"/>
                  <wp:effectExtent l="0" t="0" r="0" b="0"/>
                  <wp:docPr id="152973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311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940" cy="200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D1BF" w14:textId="77777777" w:rsidR="00B92AB0" w:rsidRDefault="00B92AB0" w:rsidP="005A548B">
            <w:pPr>
              <w:rPr>
                <w:b/>
                <w:bCs/>
                <w:lang w:val="es-CO"/>
              </w:rPr>
            </w:pPr>
          </w:p>
          <w:p w14:paraId="445EB3B5" w14:textId="25F007C6" w:rsidR="008C50C9" w:rsidRPr="008C50C9" w:rsidRDefault="008C50C9" w:rsidP="008C50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Tabla 5. </w:t>
            </w:r>
            <w:r w:rsidRPr="008C50C9">
              <w:rPr>
                <w:b/>
                <w:bCs/>
              </w:rPr>
              <w:t>Medición inicial de maquinaria adquirida en el exterior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3"/>
              <w:gridCol w:w="1338"/>
            </w:tblGrid>
            <w:tr w:rsidR="008C50C9" w:rsidRPr="008C50C9" w14:paraId="30C272EC" w14:textId="77777777" w:rsidTr="008C50C9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020FD60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CA4FE74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Valor</w:t>
                  </w:r>
                </w:p>
              </w:tc>
            </w:tr>
            <w:tr w:rsidR="008C50C9" w:rsidRPr="008C50C9" w14:paraId="3582DE81" w14:textId="77777777" w:rsidTr="008C50C9">
              <w:tc>
                <w:tcPr>
                  <w:tcW w:w="0" w:type="auto"/>
                  <w:hideMark/>
                </w:tcPr>
                <w:p w14:paraId="2EBF943A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Maquinaria</w:t>
                  </w:r>
                </w:p>
              </w:tc>
              <w:tc>
                <w:tcPr>
                  <w:tcW w:w="0" w:type="auto"/>
                  <w:hideMark/>
                </w:tcPr>
                <w:p w14:paraId="06A65120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$17.500.000</w:t>
                  </w:r>
                </w:p>
              </w:tc>
            </w:tr>
            <w:tr w:rsidR="008C50C9" w:rsidRPr="008C50C9" w14:paraId="6504BB3D" w14:textId="77777777" w:rsidTr="008C50C9">
              <w:tc>
                <w:tcPr>
                  <w:tcW w:w="0" w:type="auto"/>
                  <w:hideMark/>
                </w:tcPr>
                <w:p w14:paraId="789EBA96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Acreedores del exterior</w:t>
                  </w:r>
                </w:p>
              </w:tc>
              <w:tc>
                <w:tcPr>
                  <w:tcW w:w="0" w:type="auto"/>
                  <w:hideMark/>
                </w:tcPr>
                <w:p w14:paraId="7C690C2B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$17.500.000</w:t>
                  </w:r>
                </w:p>
              </w:tc>
            </w:tr>
          </w:tbl>
          <w:p w14:paraId="6656C0E5" w14:textId="77777777" w:rsidR="008C50C9" w:rsidRDefault="008C50C9" w:rsidP="005A548B">
            <w:pPr>
              <w:rPr>
                <w:b/>
                <w:bCs/>
                <w:lang w:val="es-CO"/>
              </w:rPr>
            </w:pPr>
          </w:p>
          <w:p w14:paraId="24A85E77" w14:textId="77777777" w:rsidR="008C50C9" w:rsidRDefault="008C50C9" w:rsidP="005A548B">
            <w:pPr>
              <w:rPr>
                <w:b/>
                <w:bCs/>
                <w:lang w:val="es-CO"/>
              </w:rPr>
            </w:pPr>
          </w:p>
          <w:p w14:paraId="3A7FB3EA" w14:textId="29CD8812" w:rsidR="008C50C9" w:rsidRPr="008C50C9" w:rsidRDefault="008C50C9" w:rsidP="008C50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6. </w:t>
            </w:r>
            <w:r w:rsidRPr="008C50C9">
              <w:rPr>
                <w:b/>
                <w:bCs/>
              </w:rPr>
              <w:t>Reconocimiento de la diferencia en cambio</w:t>
            </w:r>
          </w:p>
          <w:p w14:paraId="5025EACE" w14:textId="2DC5AEF3" w:rsidR="008C50C9" w:rsidRPr="008C50C9" w:rsidRDefault="008C50C9" w:rsidP="008C50C9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0"/>
              <w:gridCol w:w="1226"/>
            </w:tblGrid>
            <w:tr w:rsidR="008C50C9" w:rsidRPr="008C50C9" w14:paraId="57B209C7" w14:textId="77777777" w:rsidTr="008C50C9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9ADAFA9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738C387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Valor</w:t>
                  </w:r>
                </w:p>
              </w:tc>
            </w:tr>
            <w:tr w:rsidR="008C50C9" w:rsidRPr="008C50C9" w14:paraId="10B33BB4" w14:textId="77777777" w:rsidTr="008C50C9">
              <w:tc>
                <w:tcPr>
                  <w:tcW w:w="0" w:type="auto"/>
                  <w:hideMark/>
                </w:tcPr>
                <w:p w14:paraId="642DFB52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Gastos por diferencia en cambio</w:t>
                  </w:r>
                </w:p>
              </w:tc>
              <w:tc>
                <w:tcPr>
                  <w:tcW w:w="0" w:type="auto"/>
                  <w:hideMark/>
                </w:tcPr>
                <w:p w14:paraId="530F656F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$1.250.000</w:t>
                  </w:r>
                </w:p>
              </w:tc>
            </w:tr>
            <w:tr w:rsidR="008C50C9" w:rsidRPr="008C50C9" w14:paraId="5668B4C2" w14:textId="77777777" w:rsidTr="008C50C9">
              <w:tc>
                <w:tcPr>
                  <w:tcW w:w="0" w:type="auto"/>
                  <w:hideMark/>
                </w:tcPr>
                <w:p w14:paraId="47061CD7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Acreedores del exterior</w:t>
                  </w:r>
                </w:p>
              </w:tc>
              <w:tc>
                <w:tcPr>
                  <w:tcW w:w="0" w:type="auto"/>
                  <w:hideMark/>
                </w:tcPr>
                <w:p w14:paraId="508D43A3" w14:textId="77777777" w:rsidR="008C50C9" w:rsidRPr="008C50C9" w:rsidRDefault="008C50C9" w:rsidP="008C50C9">
                  <w:pPr>
                    <w:rPr>
                      <w:b/>
                      <w:bCs/>
                    </w:rPr>
                  </w:pPr>
                  <w:r w:rsidRPr="008C50C9">
                    <w:rPr>
                      <w:b/>
                      <w:bCs/>
                    </w:rPr>
                    <w:t>$1.250.000</w:t>
                  </w:r>
                </w:p>
              </w:tc>
            </w:tr>
          </w:tbl>
          <w:p w14:paraId="61530BC1" w14:textId="77777777" w:rsidR="008C50C9" w:rsidRPr="00B92AB0" w:rsidRDefault="008C50C9" w:rsidP="005A548B">
            <w:pPr>
              <w:rPr>
                <w:b/>
                <w:bCs/>
                <w:lang w:val="es-CO"/>
              </w:rPr>
            </w:pPr>
          </w:p>
        </w:tc>
      </w:tr>
      <w:tr w:rsidR="00993E43" w:rsidRPr="005A548B" w14:paraId="32F394BB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9DD8" w14:textId="6ADC2B3D" w:rsidR="00B92AB0" w:rsidRDefault="00602331" w:rsidP="005A548B">
            <w:pPr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lastRenderedPageBreak/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5140A4AB" w14:textId="77777777" w:rsidR="00602331" w:rsidRDefault="00602331" w:rsidP="005A548B">
            <w:pPr>
              <w:rPr>
                <w:lang w:val="es-CO"/>
              </w:rPr>
            </w:pPr>
          </w:p>
          <w:p w14:paraId="147C7426" w14:textId="3EBE4409" w:rsidR="00602331" w:rsidRDefault="00602331" w:rsidP="005A548B">
            <w:pPr>
              <w:rPr>
                <w:lang w:val="es-CO"/>
              </w:rPr>
            </w:pPr>
            <w:r w:rsidRPr="00602331">
              <w:rPr>
                <w:noProof/>
                <w:lang w:val="es-CO"/>
              </w:rPr>
              <w:drawing>
                <wp:inline distT="0" distB="0" distL="0" distR="0" wp14:anchorId="2444D534" wp14:editId="00352D64">
                  <wp:extent cx="3455132" cy="1362075"/>
                  <wp:effectExtent l="0" t="0" r="0" b="0"/>
                  <wp:docPr id="556713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7135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24" cy="136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D117" w14:textId="77777777" w:rsidR="00B92AB0" w:rsidRDefault="00B92AB0" w:rsidP="005A548B">
            <w:pPr>
              <w:rPr>
                <w:b/>
                <w:bCs/>
                <w:lang w:val="es-CO"/>
              </w:rPr>
            </w:pPr>
          </w:p>
          <w:p w14:paraId="2A4C29AC" w14:textId="4BA7B7FC" w:rsidR="00602331" w:rsidRPr="00602331" w:rsidRDefault="00602331" w:rsidP="006023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7. </w:t>
            </w:r>
            <w:r w:rsidRPr="00602331">
              <w:rPr>
                <w:b/>
                <w:bCs/>
              </w:rPr>
              <w:t>Reconocimiento del activo: construcción y terreno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338"/>
            </w:tblGrid>
            <w:tr w:rsidR="00602331" w:rsidRPr="00602331" w14:paraId="2C8FCC8A" w14:textId="77777777" w:rsidTr="00602331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6E77E21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9DE9F3D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Valor</w:t>
                  </w:r>
                </w:p>
              </w:tc>
            </w:tr>
            <w:tr w:rsidR="00602331" w:rsidRPr="00602331" w14:paraId="12AC3FD4" w14:textId="77777777" w:rsidTr="00602331">
              <w:tc>
                <w:tcPr>
                  <w:tcW w:w="0" w:type="auto"/>
                  <w:hideMark/>
                </w:tcPr>
                <w:p w14:paraId="23A69AC2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Construcción</w:t>
                  </w:r>
                </w:p>
              </w:tc>
              <w:tc>
                <w:tcPr>
                  <w:tcW w:w="0" w:type="auto"/>
                  <w:hideMark/>
                </w:tcPr>
                <w:p w14:paraId="498BC909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$45.000.000</w:t>
                  </w:r>
                </w:p>
              </w:tc>
            </w:tr>
            <w:tr w:rsidR="00602331" w:rsidRPr="00602331" w14:paraId="22287909" w14:textId="77777777" w:rsidTr="00602331">
              <w:tc>
                <w:tcPr>
                  <w:tcW w:w="0" w:type="auto"/>
                  <w:hideMark/>
                </w:tcPr>
                <w:p w14:paraId="75196E85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Terreno</w:t>
                  </w:r>
                </w:p>
              </w:tc>
              <w:tc>
                <w:tcPr>
                  <w:tcW w:w="0" w:type="auto"/>
                  <w:hideMark/>
                </w:tcPr>
                <w:p w14:paraId="6BB1E198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$5.000.000</w:t>
                  </w:r>
                </w:p>
              </w:tc>
            </w:tr>
          </w:tbl>
          <w:p w14:paraId="2884A55C" w14:textId="77777777" w:rsidR="00602331" w:rsidRDefault="00602331" w:rsidP="00602331">
            <w:pPr>
              <w:rPr>
                <w:b/>
                <w:bCs/>
              </w:rPr>
            </w:pPr>
          </w:p>
          <w:p w14:paraId="05B808A4" w14:textId="44877DC1" w:rsidR="00602331" w:rsidRPr="00602331" w:rsidRDefault="00602331" w:rsidP="006023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8. </w:t>
            </w:r>
            <w:r w:rsidRPr="00602331">
              <w:rPr>
                <w:b/>
                <w:bCs/>
              </w:rPr>
              <w:t>Costo estimado de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226"/>
            </w:tblGrid>
            <w:tr w:rsidR="00602331" w:rsidRPr="00602331" w14:paraId="47FC4EFD" w14:textId="77777777" w:rsidTr="00602331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030422A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Cálculo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666FCC7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Valor</w:t>
                  </w:r>
                </w:p>
              </w:tc>
            </w:tr>
            <w:tr w:rsidR="00602331" w:rsidRPr="00602331" w14:paraId="48B5DD1D" w14:textId="77777777" w:rsidTr="00602331">
              <w:tc>
                <w:tcPr>
                  <w:tcW w:w="0" w:type="auto"/>
                  <w:hideMark/>
                </w:tcPr>
                <w:p w14:paraId="356F08F7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 xml:space="preserve">VP = </w:t>
                  </w:r>
                  <w:proofErr w:type="spellStart"/>
                  <w:r w:rsidRPr="00602331">
                    <w:rPr>
                      <w:b/>
                      <w:bCs/>
                    </w:rPr>
                    <w:t>VF</w:t>
                  </w:r>
                  <w:proofErr w:type="spellEnd"/>
                  <w:r w:rsidRPr="00602331">
                    <w:rPr>
                      <w:b/>
                      <w:bCs/>
                    </w:rPr>
                    <w:t xml:space="preserve"> / (1 + </w:t>
                  </w:r>
                  <w:proofErr w:type="gramStart"/>
                  <w:r w:rsidRPr="00602331">
                    <w:rPr>
                      <w:b/>
                      <w:bCs/>
                    </w:rPr>
                    <w:t>i)^</w:t>
                  </w:r>
                  <w:proofErr w:type="gramEnd"/>
                  <w:r w:rsidRPr="00602331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hideMark/>
                </w:tcPr>
                <w:p w14:paraId="7FB7C963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$1.559.024</w:t>
                  </w:r>
                </w:p>
              </w:tc>
            </w:tr>
          </w:tbl>
          <w:p w14:paraId="03F08F02" w14:textId="77777777" w:rsidR="00602331" w:rsidRPr="00602331" w:rsidRDefault="00000000" w:rsidP="00602331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B84A21D">
                <v:rect id="_x0000_i1025" style="width:0;height:1.5pt" o:hralign="center" o:hrstd="t" o:hr="t" fillcolor="#a0a0a0" stroked="f"/>
              </w:pict>
            </w:r>
          </w:p>
          <w:p w14:paraId="3EAB01AA" w14:textId="446022A9" w:rsidR="00602331" w:rsidRPr="00602331" w:rsidRDefault="00602331" w:rsidP="006023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8. </w:t>
            </w:r>
            <w:r w:rsidRPr="00602331">
              <w:rPr>
                <w:b/>
                <w:bCs/>
              </w:rPr>
              <w:t>Medición inicial del activo adquirido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056"/>
              <w:gridCol w:w="1338"/>
              <w:gridCol w:w="1338"/>
            </w:tblGrid>
            <w:tr w:rsidR="00602331" w:rsidRPr="00602331" w14:paraId="02A9BD18" w14:textId="77777777" w:rsidTr="00602331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16BAA9A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A7CB999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DE912BF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181265D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Crédito</w:t>
                  </w:r>
                </w:p>
              </w:tc>
            </w:tr>
            <w:tr w:rsidR="00602331" w:rsidRPr="00602331" w14:paraId="3B435527" w14:textId="77777777" w:rsidTr="00602331">
              <w:tc>
                <w:tcPr>
                  <w:tcW w:w="0" w:type="auto"/>
                  <w:hideMark/>
                </w:tcPr>
                <w:p w14:paraId="44C7E635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150405</w:t>
                  </w:r>
                </w:p>
              </w:tc>
              <w:tc>
                <w:tcPr>
                  <w:tcW w:w="0" w:type="auto"/>
                  <w:hideMark/>
                </w:tcPr>
                <w:p w14:paraId="43D76AB4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Terrenos urbanos</w:t>
                  </w:r>
                </w:p>
              </w:tc>
              <w:tc>
                <w:tcPr>
                  <w:tcW w:w="0" w:type="auto"/>
                  <w:hideMark/>
                </w:tcPr>
                <w:p w14:paraId="3A255801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$5.000.000</w:t>
                  </w:r>
                </w:p>
              </w:tc>
              <w:tc>
                <w:tcPr>
                  <w:tcW w:w="0" w:type="auto"/>
                  <w:hideMark/>
                </w:tcPr>
                <w:p w14:paraId="45ADE552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</w:p>
              </w:tc>
            </w:tr>
            <w:tr w:rsidR="00602331" w:rsidRPr="00602331" w14:paraId="0E115E8E" w14:textId="77777777" w:rsidTr="00602331">
              <w:tc>
                <w:tcPr>
                  <w:tcW w:w="0" w:type="auto"/>
                  <w:hideMark/>
                </w:tcPr>
                <w:p w14:paraId="21269542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151610</w:t>
                  </w:r>
                </w:p>
              </w:tc>
              <w:tc>
                <w:tcPr>
                  <w:tcW w:w="0" w:type="auto"/>
                  <w:hideMark/>
                </w:tcPr>
                <w:p w14:paraId="6038C184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Oficina</w:t>
                  </w:r>
                </w:p>
              </w:tc>
              <w:tc>
                <w:tcPr>
                  <w:tcW w:w="0" w:type="auto"/>
                  <w:hideMark/>
                </w:tcPr>
                <w:p w14:paraId="7C64DC29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$46.559.024</w:t>
                  </w:r>
                </w:p>
              </w:tc>
              <w:tc>
                <w:tcPr>
                  <w:tcW w:w="0" w:type="auto"/>
                  <w:hideMark/>
                </w:tcPr>
                <w:p w14:paraId="445F10B9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</w:p>
              </w:tc>
            </w:tr>
            <w:tr w:rsidR="00602331" w:rsidRPr="00602331" w14:paraId="0E61D43B" w14:textId="77777777" w:rsidTr="00602331">
              <w:tc>
                <w:tcPr>
                  <w:tcW w:w="0" w:type="auto"/>
                  <w:hideMark/>
                </w:tcPr>
                <w:p w14:paraId="4B651CCA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299501</w:t>
                  </w:r>
                </w:p>
              </w:tc>
              <w:tc>
                <w:tcPr>
                  <w:tcW w:w="0" w:type="auto"/>
                  <w:hideMark/>
                </w:tcPr>
                <w:p w14:paraId="010E5BDC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Provisión desmantelamiento</w:t>
                  </w:r>
                </w:p>
              </w:tc>
              <w:tc>
                <w:tcPr>
                  <w:tcW w:w="0" w:type="auto"/>
                  <w:hideMark/>
                </w:tcPr>
                <w:p w14:paraId="1EE6BEAC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2D855C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$1.559.024</w:t>
                  </w:r>
                </w:p>
              </w:tc>
            </w:tr>
            <w:tr w:rsidR="00602331" w:rsidRPr="00602331" w14:paraId="080E5B96" w14:textId="77777777" w:rsidTr="00602331">
              <w:tc>
                <w:tcPr>
                  <w:tcW w:w="0" w:type="auto"/>
                  <w:hideMark/>
                </w:tcPr>
                <w:p w14:paraId="5A17A74C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5879F838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Costos y gastos por pagar</w:t>
                  </w:r>
                </w:p>
              </w:tc>
              <w:tc>
                <w:tcPr>
                  <w:tcW w:w="0" w:type="auto"/>
                  <w:hideMark/>
                </w:tcPr>
                <w:p w14:paraId="5A346A30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DA9838" w14:textId="77777777" w:rsidR="00602331" w:rsidRPr="00602331" w:rsidRDefault="00602331" w:rsidP="00602331">
                  <w:pPr>
                    <w:rPr>
                      <w:b/>
                      <w:bCs/>
                    </w:rPr>
                  </w:pPr>
                  <w:r w:rsidRPr="00602331">
                    <w:rPr>
                      <w:b/>
                      <w:bCs/>
                    </w:rPr>
                    <w:t>$50.000.000</w:t>
                  </w:r>
                </w:p>
              </w:tc>
            </w:tr>
          </w:tbl>
          <w:p w14:paraId="0580A2D6" w14:textId="77777777" w:rsidR="00602331" w:rsidRPr="00B92AB0" w:rsidRDefault="00602331" w:rsidP="005A548B">
            <w:pPr>
              <w:rPr>
                <w:b/>
                <w:bCs/>
                <w:lang w:val="es-CO"/>
              </w:rPr>
            </w:pPr>
          </w:p>
        </w:tc>
      </w:tr>
      <w:tr w:rsidR="00993E43" w:rsidRPr="005A548B" w14:paraId="1517A725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84B" w14:textId="31C18005" w:rsidR="00B92AB0" w:rsidRDefault="003A0A82" w:rsidP="005A548B">
            <w:pPr>
              <w:rPr>
                <w:lang w:val="es-CO"/>
              </w:rPr>
            </w:pPr>
            <w:r w:rsidRPr="00E07388">
              <w:rPr>
                <w:color w:val="FF0000"/>
                <w:lang w:val="es-CO"/>
              </w:rPr>
              <w:lastRenderedPageBreak/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538DA236" w14:textId="4A9097FB" w:rsidR="003A0A82" w:rsidRDefault="003A0A82" w:rsidP="005A548B">
            <w:pPr>
              <w:rPr>
                <w:lang w:val="es-CO"/>
              </w:rPr>
            </w:pPr>
            <w:r w:rsidRPr="003A0A82">
              <w:rPr>
                <w:noProof/>
                <w:lang w:val="es-CO"/>
              </w:rPr>
              <w:drawing>
                <wp:inline distT="0" distB="0" distL="0" distR="0" wp14:anchorId="28235A0B" wp14:editId="0CD1D62C">
                  <wp:extent cx="2142713" cy="1733550"/>
                  <wp:effectExtent l="0" t="0" r="0" b="0"/>
                  <wp:docPr id="116041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16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89" cy="173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C35C" w14:textId="19896C92" w:rsidR="00B92AB0" w:rsidRPr="00B92AB0" w:rsidRDefault="003A0A82" w:rsidP="005A548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9. </w:t>
            </w:r>
            <w:r w:rsidRPr="003A0A82">
              <w:rPr>
                <w:b/>
                <w:bCs/>
              </w:rPr>
              <w:t>Cálculo de depreciación lineal para un activo con vida útil de 20 años</w:t>
            </w:r>
          </w:p>
        </w:tc>
      </w:tr>
      <w:tr w:rsidR="00993E43" w:rsidRPr="005A548B" w14:paraId="6A4BE6EA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C695" w14:textId="68C28CE6" w:rsidR="005112DC" w:rsidRDefault="005112DC" w:rsidP="005A548B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7E98EBC5" w14:textId="01C01970" w:rsidR="005112DC" w:rsidRPr="00E07388" w:rsidRDefault="005112DC" w:rsidP="005A548B">
            <w:pPr>
              <w:rPr>
                <w:color w:val="FF0000"/>
                <w:lang w:val="es-CO"/>
              </w:rPr>
            </w:pPr>
            <w:r w:rsidRPr="005112DC">
              <w:rPr>
                <w:noProof/>
                <w:color w:val="FF0000"/>
                <w:lang w:val="es-CO"/>
              </w:rPr>
              <w:drawing>
                <wp:inline distT="0" distB="0" distL="0" distR="0" wp14:anchorId="419C7E0F" wp14:editId="0A07EF56">
                  <wp:extent cx="3381375" cy="2799865"/>
                  <wp:effectExtent l="0" t="0" r="0" b="635"/>
                  <wp:docPr id="1450844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8443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86" cy="280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54B2" w14:textId="77777777" w:rsidR="005112DC" w:rsidRDefault="005112DC" w:rsidP="005A548B">
            <w:pPr>
              <w:rPr>
                <w:b/>
                <w:bCs/>
                <w:lang w:val="es-CO"/>
              </w:rPr>
            </w:pPr>
          </w:p>
          <w:p w14:paraId="77F1D4FC" w14:textId="79EBED51" w:rsidR="005112DC" w:rsidRPr="005112DC" w:rsidRDefault="005112DC" w:rsidP="005112DC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Tabla 10. </w:t>
            </w:r>
            <w:r w:rsidRPr="005112DC">
              <w:rPr>
                <w:b/>
                <w:bCs/>
              </w:rPr>
              <w:t>Reconocimiento inicial del computador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523"/>
              <w:gridCol w:w="1226"/>
            </w:tblGrid>
            <w:tr w:rsidR="005112DC" w:rsidRPr="005112DC" w14:paraId="78284B6D" w14:textId="77777777" w:rsidTr="005112DC">
              <w:tc>
                <w:tcPr>
                  <w:tcW w:w="0" w:type="auto"/>
                  <w:hideMark/>
                </w:tcPr>
                <w:p w14:paraId="1384C774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hideMark/>
                </w:tcPr>
                <w:p w14:paraId="67E46303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hideMark/>
                </w:tcPr>
                <w:p w14:paraId="3FB75AE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Valor</w:t>
                  </w:r>
                </w:p>
              </w:tc>
            </w:tr>
            <w:tr w:rsidR="005112DC" w:rsidRPr="005112DC" w14:paraId="5C4EDC9E" w14:textId="77777777" w:rsidTr="005112DC">
              <w:tc>
                <w:tcPr>
                  <w:tcW w:w="0" w:type="auto"/>
                  <w:hideMark/>
                </w:tcPr>
                <w:p w14:paraId="3CE2952D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152801</w:t>
                  </w:r>
                </w:p>
              </w:tc>
              <w:tc>
                <w:tcPr>
                  <w:tcW w:w="0" w:type="auto"/>
                  <w:hideMark/>
                </w:tcPr>
                <w:p w14:paraId="5B81AD7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Computador</w:t>
                  </w:r>
                </w:p>
              </w:tc>
              <w:tc>
                <w:tcPr>
                  <w:tcW w:w="0" w:type="auto"/>
                  <w:hideMark/>
                </w:tcPr>
                <w:p w14:paraId="18E9CC49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$3.000.000</w:t>
                  </w:r>
                </w:p>
              </w:tc>
            </w:tr>
            <w:tr w:rsidR="005112DC" w:rsidRPr="005112DC" w14:paraId="774005D6" w14:textId="77777777" w:rsidTr="005112DC">
              <w:tc>
                <w:tcPr>
                  <w:tcW w:w="0" w:type="auto"/>
                  <w:hideMark/>
                </w:tcPr>
                <w:p w14:paraId="587279E8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3ABB9153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Costos y gastos por pagar</w:t>
                  </w:r>
                </w:p>
              </w:tc>
              <w:tc>
                <w:tcPr>
                  <w:tcW w:w="0" w:type="auto"/>
                  <w:hideMark/>
                </w:tcPr>
                <w:p w14:paraId="48C2E10A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$3.000.000</w:t>
                  </w:r>
                </w:p>
              </w:tc>
            </w:tr>
          </w:tbl>
          <w:p w14:paraId="6E2CCE56" w14:textId="3B0F616E" w:rsidR="005112DC" w:rsidRPr="005112DC" w:rsidRDefault="005112DC" w:rsidP="005112DC">
            <w:pPr>
              <w:rPr>
                <w:b/>
                <w:bCs/>
              </w:rPr>
            </w:pPr>
          </w:p>
          <w:p w14:paraId="47F4B326" w14:textId="054F2257" w:rsidR="005112DC" w:rsidRPr="005112DC" w:rsidRDefault="005112DC" w:rsidP="005112DC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Tabla 11. </w:t>
            </w:r>
            <w:r w:rsidRPr="005112DC">
              <w:rPr>
                <w:b/>
                <w:bCs/>
              </w:rPr>
              <w:t>Cálculo de depreciación del computador (vida útil: 5 años)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8"/>
              <w:gridCol w:w="1408"/>
              <w:gridCol w:w="2056"/>
              <w:gridCol w:w="1226"/>
            </w:tblGrid>
            <w:tr w:rsidR="005112DC" w:rsidRPr="005112DC" w14:paraId="75AA3EC5" w14:textId="77777777" w:rsidTr="005112DC">
              <w:tc>
                <w:tcPr>
                  <w:tcW w:w="0" w:type="auto"/>
                  <w:hideMark/>
                </w:tcPr>
                <w:p w14:paraId="1189A707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Período</w:t>
                  </w:r>
                </w:p>
              </w:tc>
              <w:tc>
                <w:tcPr>
                  <w:tcW w:w="0" w:type="auto"/>
                  <w:hideMark/>
                </w:tcPr>
                <w:p w14:paraId="68D9726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Depreciación</w:t>
                  </w:r>
                </w:p>
              </w:tc>
              <w:tc>
                <w:tcPr>
                  <w:tcW w:w="0" w:type="auto"/>
                  <w:hideMark/>
                </w:tcPr>
                <w:p w14:paraId="790803A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Depreciación acumulada</w:t>
                  </w:r>
                </w:p>
              </w:tc>
              <w:tc>
                <w:tcPr>
                  <w:tcW w:w="0" w:type="auto"/>
                  <w:hideMark/>
                </w:tcPr>
                <w:p w14:paraId="438237FA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Saldo</w:t>
                  </w:r>
                </w:p>
              </w:tc>
            </w:tr>
            <w:tr w:rsidR="005112DC" w:rsidRPr="005112DC" w14:paraId="1355C8F6" w14:textId="77777777" w:rsidTr="005112DC">
              <w:tc>
                <w:tcPr>
                  <w:tcW w:w="0" w:type="auto"/>
                  <w:hideMark/>
                </w:tcPr>
                <w:p w14:paraId="1F36FA50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14:paraId="1B2D9486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A79AC4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E932FC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$3.000.000</w:t>
                  </w:r>
                </w:p>
              </w:tc>
            </w:tr>
            <w:tr w:rsidR="005112DC" w:rsidRPr="005112DC" w14:paraId="5ADFBCB1" w14:textId="77777777" w:rsidTr="005112DC">
              <w:tc>
                <w:tcPr>
                  <w:tcW w:w="0" w:type="auto"/>
                  <w:hideMark/>
                </w:tcPr>
                <w:p w14:paraId="5D0B4FEB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1605E050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7A7B0CCA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5DA69645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$2.400.000</w:t>
                  </w:r>
                </w:p>
              </w:tc>
            </w:tr>
            <w:tr w:rsidR="005112DC" w:rsidRPr="005112DC" w14:paraId="16135893" w14:textId="77777777" w:rsidTr="005112DC">
              <w:tc>
                <w:tcPr>
                  <w:tcW w:w="0" w:type="auto"/>
                  <w:hideMark/>
                </w:tcPr>
                <w:p w14:paraId="5456B428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1D4A44EA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45428B71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$1.200.000</w:t>
                  </w:r>
                </w:p>
              </w:tc>
              <w:tc>
                <w:tcPr>
                  <w:tcW w:w="0" w:type="auto"/>
                  <w:hideMark/>
                </w:tcPr>
                <w:p w14:paraId="24EC3E00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$1.800.000</w:t>
                  </w:r>
                </w:p>
              </w:tc>
            </w:tr>
            <w:tr w:rsidR="005112DC" w:rsidRPr="005112DC" w14:paraId="5410391F" w14:textId="77777777" w:rsidTr="005112DC">
              <w:tc>
                <w:tcPr>
                  <w:tcW w:w="0" w:type="auto"/>
                  <w:hideMark/>
                </w:tcPr>
                <w:p w14:paraId="7F39B952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64876849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39B8AF22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$1.800.000</w:t>
                  </w:r>
                </w:p>
              </w:tc>
              <w:tc>
                <w:tcPr>
                  <w:tcW w:w="0" w:type="auto"/>
                  <w:hideMark/>
                </w:tcPr>
                <w:p w14:paraId="7D23736E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$1.200.000</w:t>
                  </w:r>
                </w:p>
              </w:tc>
            </w:tr>
            <w:tr w:rsidR="005112DC" w:rsidRPr="005112DC" w14:paraId="1362CCCC" w14:textId="77777777" w:rsidTr="005112DC">
              <w:tc>
                <w:tcPr>
                  <w:tcW w:w="0" w:type="auto"/>
                  <w:hideMark/>
                </w:tcPr>
                <w:p w14:paraId="0D6C4556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DACBD60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36E9CA24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$2.400.000</w:t>
                  </w:r>
                </w:p>
              </w:tc>
              <w:tc>
                <w:tcPr>
                  <w:tcW w:w="0" w:type="auto"/>
                  <w:hideMark/>
                </w:tcPr>
                <w:p w14:paraId="41FC9EB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</w:tr>
            <w:tr w:rsidR="005112DC" w:rsidRPr="005112DC" w14:paraId="4CFAEACA" w14:textId="77777777" w:rsidTr="005112DC">
              <w:tc>
                <w:tcPr>
                  <w:tcW w:w="0" w:type="auto"/>
                  <w:hideMark/>
                </w:tcPr>
                <w:p w14:paraId="5057658E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43DFE24F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$600.000</w:t>
                  </w:r>
                </w:p>
              </w:tc>
              <w:tc>
                <w:tcPr>
                  <w:tcW w:w="0" w:type="auto"/>
                  <w:hideMark/>
                </w:tcPr>
                <w:p w14:paraId="7EF9D5D9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$3.000.000</w:t>
                  </w:r>
                </w:p>
              </w:tc>
              <w:tc>
                <w:tcPr>
                  <w:tcW w:w="0" w:type="auto"/>
                  <w:hideMark/>
                </w:tcPr>
                <w:p w14:paraId="518DEE47" w14:textId="77777777" w:rsidR="005112DC" w:rsidRPr="005112DC" w:rsidRDefault="005112DC" w:rsidP="005112DC">
                  <w:pPr>
                    <w:rPr>
                      <w:b/>
                      <w:bCs/>
                    </w:rPr>
                  </w:pPr>
                  <w:r w:rsidRPr="005112DC">
                    <w:rPr>
                      <w:b/>
                      <w:bCs/>
                    </w:rPr>
                    <w:t>$0</w:t>
                  </w:r>
                </w:p>
              </w:tc>
            </w:tr>
          </w:tbl>
          <w:p w14:paraId="4B99E751" w14:textId="77777777" w:rsidR="005112DC" w:rsidRDefault="005112DC" w:rsidP="005A548B">
            <w:pPr>
              <w:rPr>
                <w:b/>
                <w:bCs/>
                <w:lang w:val="es-CO"/>
              </w:rPr>
            </w:pPr>
          </w:p>
        </w:tc>
      </w:tr>
      <w:tr w:rsidR="00993E43" w:rsidRPr="005A548B" w14:paraId="7F57EF6D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45A2" w14:textId="5530A9D2" w:rsidR="005112DC" w:rsidRDefault="00C409B1" w:rsidP="005A548B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>Colocar titulo</w:t>
            </w:r>
          </w:p>
          <w:p w14:paraId="614351CF" w14:textId="1340DC4F" w:rsidR="00C409B1" w:rsidRPr="00E07388" w:rsidRDefault="00C409B1" w:rsidP="005A548B">
            <w:pPr>
              <w:rPr>
                <w:color w:val="FF0000"/>
                <w:lang w:val="es-CO"/>
              </w:rPr>
            </w:pPr>
            <w:r w:rsidRPr="00C409B1">
              <w:rPr>
                <w:noProof/>
                <w:color w:val="FF0000"/>
                <w:lang w:val="es-CO"/>
              </w:rPr>
              <w:lastRenderedPageBreak/>
              <w:drawing>
                <wp:inline distT="0" distB="0" distL="0" distR="0" wp14:anchorId="3A508383" wp14:editId="26DAA72D">
                  <wp:extent cx="3431968" cy="1667873"/>
                  <wp:effectExtent l="0" t="0" r="0" b="8890"/>
                  <wp:docPr id="834112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121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92" cy="167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5D58" w14:textId="5281BA9D" w:rsidR="005112DC" w:rsidRDefault="00C409B1" w:rsidP="005A548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 xml:space="preserve">Tabla 12. </w:t>
            </w:r>
            <w:r w:rsidRPr="00C409B1">
              <w:rPr>
                <w:b/>
                <w:bCs/>
              </w:rPr>
              <w:t>Ajuste en la depreciación del activo por cambio en la vida útil o método</w:t>
            </w:r>
          </w:p>
        </w:tc>
      </w:tr>
      <w:tr w:rsidR="00993E43" w:rsidRPr="005A548B" w14:paraId="7D81A187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7AAD" w14:textId="60FE2909" w:rsidR="005112DC" w:rsidRDefault="00C409B1" w:rsidP="005A548B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08A2B396" w14:textId="77777777" w:rsidR="00C409B1" w:rsidRDefault="00C409B1" w:rsidP="005A548B">
            <w:pPr>
              <w:rPr>
                <w:color w:val="FF0000"/>
                <w:lang w:val="es-CO"/>
              </w:rPr>
            </w:pPr>
          </w:p>
          <w:p w14:paraId="1BCC415B" w14:textId="100856C2" w:rsidR="00C409B1" w:rsidRPr="00E07388" w:rsidRDefault="00C409B1" w:rsidP="005A548B">
            <w:pPr>
              <w:rPr>
                <w:color w:val="FF0000"/>
                <w:lang w:val="es-CO"/>
              </w:rPr>
            </w:pPr>
            <w:r w:rsidRPr="00C409B1">
              <w:rPr>
                <w:noProof/>
                <w:color w:val="FF0000"/>
                <w:lang w:val="es-CO"/>
              </w:rPr>
              <w:drawing>
                <wp:inline distT="0" distB="0" distL="0" distR="0" wp14:anchorId="2AF502AE" wp14:editId="234E60D9">
                  <wp:extent cx="3408218" cy="2665401"/>
                  <wp:effectExtent l="0" t="0" r="1905" b="1905"/>
                  <wp:docPr id="2135472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472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09" cy="26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29E5" w14:textId="77777777" w:rsidR="005112DC" w:rsidRDefault="005112DC" w:rsidP="005A548B">
            <w:pPr>
              <w:rPr>
                <w:b/>
                <w:bCs/>
                <w:lang w:val="es-CO"/>
              </w:rPr>
            </w:pPr>
          </w:p>
          <w:p w14:paraId="5B621D49" w14:textId="7F54C195" w:rsidR="00CE1636" w:rsidRPr="00CE1636" w:rsidRDefault="00CE1636" w:rsidP="00CE1636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Tabla 13. </w:t>
            </w:r>
            <w:r w:rsidRPr="00CE1636">
              <w:rPr>
                <w:b/>
                <w:bCs/>
              </w:rPr>
              <w:t>Reconocimiento inicial de la máquina de coser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1956"/>
              <w:gridCol w:w="1226"/>
            </w:tblGrid>
            <w:tr w:rsidR="00CE1636" w:rsidRPr="00CE1636" w14:paraId="2E5FA285" w14:textId="77777777" w:rsidTr="00CE1636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E0A6172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F4929C8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4D4AF8E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Valor</w:t>
                  </w:r>
                </w:p>
              </w:tc>
            </w:tr>
            <w:tr w:rsidR="00CE1636" w:rsidRPr="00CE1636" w14:paraId="4A05657F" w14:textId="77777777" w:rsidTr="00CE1636">
              <w:tc>
                <w:tcPr>
                  <w:tcW w:w="0" w:type="auto"/>
                  <w:hideMark/>
                </w:tcPr>
                <w:p w14:paraId="25EA8A2E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152801</w:t>
                  </w:r>
                </w:p>
              </w:tc>
              <w:tc>
                <w:tcPr>
                  <w:tcW w:w="0" w:type="auto"/>
                  <w:hideMark/>
                </w:tcPr>
                <w:p w14:paraId="31C3D397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Máquina de Coser</w:t>
                  </w:r>
                </w:p>
              </w:tc>
              <w:tc>
                <w:tcPr>
                  <w:tcW w:w="0" w:type="auto"/>
                  <w:hideMark/>
                </w:tcPr>
                <w:p w14:paraId="40990945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$9.101.790</w:t>
                  </w:r>
                </w:p>
              </w:tc>
            </w:tr>
            <w:tr w:rsidR="00CE1636" w:rsidRPr="00CE1636" w14:paraId="06A1AB4C" w14:textId="77777777" w:rsidTr="00CE1636">
              <w:tc>
                <w:tcPr>
                  <w:tcW w:w="0" w:type="auto"/>
                  <w:hideMark/>
                </w:tcPr>
                <w:p w14:paraId="4C139346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299501</w:t>
                  </w:r>
                </w:p>
              </w:tc>
              <w:tc>
                <w:tcPr>
                  <w:tcW w:w="0" w:type="auto"/>
                  <w:hideMark/>
                </w:tcPr>
                <w:p w14:paraId="2605D1FA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Desmantelamiento</w:t>
                  </w:r>
                </w:p>
              </w:tc>
              <w:tc>
                <w:tcPr>
                  <w:tcW w:w="0" w:type="auto"/>
                  <w:hideMark/>
                </w:tcPr>
                <w:p w14:paraId="48552CBA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$1.116.790</w:t>
                  </w:r>
                </w:p>
              </w:tc>
            </w:tr>
            <w:tr w:rsidR="00CE1636" w:rsidRPr="00CE1636" w14:paraId="55252C9C" w14:textId="77777777" w:rsidTr="00CE1636">
              <w:tc>
                <w:tcPr>
                  <w:tcW w:w="0" w:type="auto"/>
                  <w:hideMark/>
                </w:tcPr>
                <w:p w14:paraId="03354048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2CEFAA14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Costos por pagar</w:t>
                  </w:r>
                </w:p>
              </w:tc>
              <w:tc>
                <w:tcPr>
                  <w:tcW w:w="0" w:type="auto"/>
                  <w:hideMark/>
                </w:tcPr>
                <w:p w14:paraId="015C8349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$7.985.000</w:t>
                  </w:r>
                </w:p>
              </w:tc>
            </w:tr>
          </w:tbl>
          <w:p w14:paraId="0E2D3325" w14:textId="7E5E5C41" w:rsidR="00CE1636" w:rsidRPr="00CE1636" w:rsidRDefault="00CE1636" w:rsidP="00CE1636">
            <w:pPr>
              <w:rPr>
                <w:b/>
                <w:bCs/>
              </w:rPr>
            </w:pPr>
          </w:p>
          <w:p w14:paraId="770FC28B" w14:textId="428C0350" w:rsidR="00CE1636" w:rsidRPr="00CE1636" w:rsidRDefault="00CE1636" w:rsidP="00CE1636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Tabla 14. </w:t>
            </w:r>
            <w:r w:rsidRPr="00CE1636">
              <w:rPr>
                <w:b/>
                <w:bCs/>
              </w:rPr>
              <w:t>Registro de depreciación al finalizar el año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1745"/>
              <w:gridCol w:w="1056"/>
            </w:tblGrid>
            <w:tr w:rsidR="00CE1636" w:rsidRPr="00CE1636" w14:paraId="2BB6FED7" w14:textId="77777777" w:rsidTr="00CE1636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2A73FDD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549D461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C6577F1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Valor</w:t>
                  </w:r>
                </w:p>
              </w:tc>
            </w:tr>
            <w:tr w:rsidR="00CE1636" w:rsidRPr="00CE1636" w14:paraId="1467E079" w14:textId="77777777" w:rsidTr="00CE1636">
              <w:tc>
                <w:tcPr>
                  <w:tcW w:w="0" w:type="auto"/>
                  <w:hideMark/>
                </w:tcPr>
                <w:p w14:paraId="265B50FA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516020</w:t>
                  </w:r>
                </w:p>
              </w:tc>
              <w:tc>
                <w:tcPr>
                  <w:tcW w:w="0" w:type="auto"/>
                  <w:hideMark/>
                </w:tcPr>
                <w:p w14:paraId="183E5C9E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Depreciación</w:t>
                  </w:r>
                </w:p>
              </w:tc>
              <w:tc>
                <w:tcPr>
                  <w:tcW w:w="0" w:type="auto"/>
                  <w:hideMark/>
                </w:tcPr>
                <w:p w14:paraId="2B73CC0D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$758.480</w:t>
                  </w:r>
                </w:p>
              </w:tc>
            </w:tr>
            <w:tr w:rsidR="00CE1636" w:rsidRPr="00CE1636" w14:paraId="25E32048" w14:textId="77777777" w:rsidTr="00CE1636">
              <w:tc>
                <w:tcPr>
                  <w:tcW w:w="0" w:type="auto"/>
                  <w:hideMark/>
                </w:tcPr>
                <w:p w14:paraId="701B3BF3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5FD7C9BE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Costos por pagar</w:t>
                  </w:r>
                </w:p>
              </w:tc>
              <w:tc>
                <w:tcPr>
                  <w:tcW w:w="0" w:type="auto"/>
                  <w:hideMark/>
                </w:tcPr>
                <w:p w14:paraId="74637096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$758.480</w:t>
                  </w:r>
                </w:p>
              </w:tc>
            </w:tr>
          </w:tbl>
          <w:p w14:paraId="155A3251" w14:textId="79A65D83" w:rsidR="00CE1636" w:rsidRPr="00CE1636" w:rsidRDefault="00CE1636" w:rsidP="00CE1636">
            <w:pPr>
              <w:rPr>
                <w:b/>
                <w:bCs/>
              </w:rPr>
            </w:pPr>
          </w:p>
          <w:p w14:paraId="4048FDD4" w14:textId="7DFC0A23" w:rsidR="00CE1636" w:rsidRPr="00CE1636" w:rsidRDefault="00CE1636" w:rsidP="00CE1636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Tabla 15. </w:t>
            </w:r>
            <w:r w:rsidRPr="00CE1636">
              <w:rPr>
                <w:b/>
                <w:bCs/>
              </w:rPr>
              <w:t>Ajuste del costo por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3"/>
              <w:gridCol w:w="929"/>
            </w:tblGrid>
            <w:tr w:rsidR="00CE1636" w:rsidRPr="00CE1636" w14:paraId="2B7ADFCD" w14:textId="77777777" w:rsidTr="00CE1636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B3E94E4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AE2D7BA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Tasa</w:t>
                  </w:r>
                </w:p>
              </w:tc>
            </w:tr>
            <w:tr w:rsidR="00CE1636" w:rsidRPr="00CE1636" w14:paraId="19600879" w14:textId="77777777" w:rsidTr="00CE1636">
              <w:tc>
                <w:tcPr>
                  <w:tcW w:w="0" w:type="auto"/>
                  <w:hideMark/>
                </w:tcPr>
                <w:p w14:paraId="23E87E29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Tasa EA</w:t>
                  </w:r>
                </w:p>
              </w:tc>
              <w:tc>
                <w:tcPr>
                  <w:tcW w:w="0" w:type="auto"/>
                  <w:hideMark/>
                </w:tcPr>
                <w:p w14:paraId="293CB7B3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6,00 %</w:t>
                  </w:r>
                </w:p>
              </w:tc>
            </w:tr>
            <w:tr w:rsidR="00CE1636" w:rsidRPr="00CE1636" w14:paraId="52462DFA" w14:textId="77777777" w:rsidTr="00CE1636">
              <w:tc>
                <w:tcPr>
                  <w:tcW w:w="0" w:type="auto"/>
                  <w:hideMark/>
                </w:tcPr>
                <w:p w14:paraId="1431D783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Tasa Nominal</w:t>
                  </w:r>
                </w:p>
              </w:tc>
              <w:tc>
                <w:tcPr>
                  <w:tcW w:w="0" w:type="auto"/>
                  <w:hideMark/>
                </w:tcPr>
                <w:p w14:paraId="57256FFD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5,84 %</w:t>
                  </w:r>
                </w:p>
              </w:tc>
            </w:tr>
            <w:tr w:rsidR="00CE1636" w:rsidRPr="00CE1636" w14:paraId="71FACC34" w14:textId="77777777" w:rsidTr="00CE1636">
              <w:tc>
                <w:tcPr>
                  <w:tcW w:w="0" w:type="auto"/>
                  <w:hideMark/>
                </w:tcPr>
                <w:p w14:paraId="695EAD54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Tasa Mensual</w:t>
                  </w:r>
                </w:p>
              </w:tc>
              <w:tc>
                <w:tcPr>
                  <w:tcW w:w="0" w:type="auto"/>
                  <w:hideMark/>
                </w:tcPr>
                <w:p w14:paraId="702C63BA" w14:textId="77777777" w:rsidR="00CE1636" w:rsidRPr="00CE1636" w:rsidRDefault="00CE1636" w:rsidP="00CE1636">
                  <w:pPr>
                    <w:rPr>
                      <w:b/>
                      <w:bCs/>
                    </w:rPr>
                  </w:pPr>
                  <w:r w:rsidRPr="00CE1636">
                    <w:rPr>
                      <w:b/>
                      <w:bCs/>
                    </w:rPr>
                    <w:t>0,487 %</w:t>
                  </w:r>
                </w:p>
              </w:tc>
            </w:tr>
          </w:tbl>
          <w:p w14:paraId="05F40572" w14:textId="77777777" w:rsidR="00CE1636" w:rsidRDefault="00CE1636" w:rsidP="005A548B">
            <w:pPr>
              <w:rPr>
                <w:b/>
                <w:bCs/>
                <w:lang w:val="es-CO"/>
              </w:rPr>
            </w:pPr>
          </w:p>
        </w:tc>
      </w:tr>
      <w:tr w:rsidR="00CE1636" w:rsidRPr="005A548B" w14:paraId="229B4228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EA15" w14:textId="3E7164D7" w:rsidR="00543F35" w:rsidRDefault="00543F35" w:rsidP="00543F35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</w:t>
            </w:r>
            <w:r w:rsidR="00AB3AD7">
              <w:rPr>
                <w:color w:val="FF0000"/>
                <w:lang w:val="es-CO"/>
              </w:rPr>
              <w:t>s</w:t>
            </w:r>
          </w:p>
          <w:p w14:paraId="2B279EF0" w14:textId="77777777" w:rsidR="00CE1636" w:rsidRDefault="00CE1636" w:rsidP="005A548B">
            <w:pPr>
              <w:rPr>
                <w:color w:val="FF0000"/>
                <w:lang w:val="es-CO"/>
              </w:rPr>
            </w:pPr>
          </w:p>
          <w:p w14:paraId="5EBE40BB" w14:textId="53F8A07A" w:rsidR="00543F35" w:rsidRPr="00E07388" w:rsidRDefault="00543F35" w:rsidP="005A548B">
            <w:pPr>
              <w:rPr>
                <w:color w:val="FF0000"/>
                <w:lang w:val="es-CO"/>
              </w:rPr>
            </w:pPr>
            <w:r w:rsidRPr="00543F35">
              <w:rPr>
                <w:noProof/>
                <w:color w:val="FF0000"/>
                <w:lang w:val="es-CO"/>
              </w:rPr>
              <w:lastRenderedPageBreak/>
              <w:drawing>
                <wp:inline distT="0" distB="0" distL="0" distR="0" wp14:anchorId="04315A97" wp14:editId="56C7B940">
                  <wp:extent cx="4334493" cy="917802"/>
                  <wp:effectExtent l="0" t="0" r="0" b="0"/>
                  <wp:docPr id="552458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4588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1607" cy="91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84B" w14:textId="77777777" w:rsidR="00CE1636" w:rsidRDefault="00CE1636" w:rsidP="005A548B">
            <w:pPr>
              <w:rPr>
                <w:b/>
                <w:bCs/>
                <w:lang w:val="es-CO"/>
              </w:rPr>
            </w:pPr>
          </w:p>
          <w:p w14:paraId="492221AC" w14:textId="25548AB7" w:rsidR="00543F35" w:rsidRPr="00543F35" w:rsidRDefault="00543F35" w:rsidP="00543F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16. </w:t>
            </w:r>
            <w:r w:rsidRPr="00543F35">
              <w:rPr>
                <w:b/>
                <w:bCs/>
              </w:rPr>
              <w:t>Registro del gasto por actualización de la provisión de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844"/>
              <w:gridCol w:w="944"/>
              <w:gridCol w:w="944"/>
            </w:tblGrid>
            <w:tr w:rsidR="00543F35" w:rsidRPr="00543F35" w14:paraId="2A88AE57" w14:textId="77777777" w:rsidTr="00993E43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D7290BC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6F27608C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54AFDC69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9A7843A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Crédito</w:t>
                  </w:r>
                </w:p>
              </w:tc>
            </w:tr>
            <w:tr w:rsidR="00543F35" w:rsidRPr="00543F35" w14:paraId="6B25FE7D" w14:textId="77777777" w:rsidTr="00543F35">
              <w:tc>
                <w:tcPr>
                  <w:tcW w:w="0" w:type="auto"/>
                  <w:hideMark/>
                </w:tcPr>
                <w:p w14:paraId="58951074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lastRenderedPageBreak/>
                    <w:t>539501</w:t>
                  </w:r>
                </w:p>
              </w:tc>
              <w:tc>
                <w:tcPr>
                  <w:tcW w:w="0" w:type="auto"/>
                  <w:hideMark/>
                </w:tcPr>
                <w:p w14:paraId="69A50B9A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Gastos de provisión desmantelamiento</w:t>
                  </w:r>
                </w:p>
              </w:tc>
              <w:tc>
                <w:tcPr>
                  <w:tcW w:w="0" w:type="auto"/>
                  <w:hideMark/>
                </w:tcPr>
                <w:p w14:paraId="7BBB0E80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$55.567</w:t>
                  </w:r>
                </w:p>
              </w:tc>
              <w:tc>
                <w:tcPr>
                  <w:tcW w:w="0" w:type="auto"/>
                  <w:hideMark/>
                </w:tcPr>
                <w:p w14:paraId="5228327E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</w:p>
              </w:tc>
            </w:tr>
            <w:tr w:rsidR="00543F35" w:rsidRPr="00543F35" w14:paraId="3CFE38C6" w14:textId="77777777" w:rsidTr="00543F35">
              <w:tc>
                <w:tcPr>
                  <w:tcW w:w="0" w:type="auto"/>
                  <w:hideMark/>
                </w:tcPr>
                <w:p w14:paraId="2BA0DEC6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299501</w:t>
                  </w:r>
                </w:p>
              </w:tc>
              <w:tc>
                <w:tcPr>
                  <w:tcW w:w="0" w:type="auto"/>
                  <w:hideMark/>
                </w:tcPr>
                <w:p w14:paraId="558F11FE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Desmantelamiento</w:t>
                  </w:r>
                </w:p>
              </w:tc>
              <w:tc>
                <w:tcPr>
                  <w:tcW w:w="0" w:type="auto"/>
                  <w:hideMark/>
                </w:tcPr>
                <w:p w14:paraId="6CB222B9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EB112A" w14:textId="77777777" w:rsidR="00543F35" w:rsidRPr="00543F35" w:rsidRDefault="00543F35" w:rsidP="00543F35">
                  <w:pPr>
                    <w:rPr>
                      <w:b/>
                      <w:bCs/>
                    </w:rPr>
                  </w:pPr>
                  <w:r w:rsidRPr="00543F35">
                    <w:rPr>
                      <w:b/>
                      <w:bCs/>
                    </w:rPr>
                    <w:t>$55.567</w:t>
                  </w:r>
                </w:p>
              </w:tc>
            </w:tr>
          </w:tbl>
          <w:p w14:paraId="43C61EE0" w14:textId="77777777" w:rsidR="00543F35" w:rsidRDefault="00543F35" w:rsidP="005A548B">
            <w:pPr>
              <w:rPr>
                <w:b/>
                <w:bCs/>
                <w:lang w:val="es-CO"/>
              </w:rPr>
            </w:pPr>
          </w:p>
        </w:tc>
      </w:tr>
      <w:tr w:rsidR="00CE1636" w:rsidRPr="005A548B" w14:paraId="3EC5ED2A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371" w14:textId="77777777" w:rsidR="00CE1636" w:rsidRDefault="00CE1636" w:rsidP="005A548B">
            <w:pPr>
              <w:rPr>
                <w:color w:val="FF0000"/>
                <w:lang w:val="es-CO"/>
              </w:rPr>
            </w:pPr>
          </w:p>
          <w:p w14:paraId="1F3669D8" w14:textId="05873FDD" w:rsidR="00AB3AD7" w:rsidRDefault="00AB3AD7" w:rsidP="00AB3AD7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0432E5A8" w14:textId="77777777" w:rsidR="00993E43" w:rsidRDefault="00993E43" w:rsidP="005A548B">
            <w:pPr>
              <w:rPr>
                <w:color w:val="FF0000"/>
                <w:lang w:val="es-CO"/>
              </w:rPr>
            </w:pPr>
          </w:p>
          <w:p w14:paraId="026DD2A8" w14:textId="56870C18" w:rsidR="00993E43" w:rsidRPr="00E07388" w:rsidRDefault="00993E43" w:rsidP="005A548B">
            <w:pPr>
              <w:rPr>
                <w:color w:val="FF0000"/>
                <w:lang w:val="es-CO"/>
              </w:rPr>
            </w:pPr>
            <w:r>
              <w:rPr>
                <w:noProof/>
                <w:color w:val="FF0000"/>
                <w:lang w:val="es-CO"/>
              </w:rPr>
              <w:drawing>
                <wp:inline distT="0" distB="0" distL="0" distR="0" wp14:anchorId="4F9F80C7" wp14:editId="7CF5BF52">
                  <wp:extent cx="4144488" cy="1384841"/>
                  <wp:effectExtent l="0" t="0" r="0" b="6350"/>
                  <wp:docPr id="13751881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428" cy="1389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0700" w14:textId="77777777" w:rsidR="00CE1636" w:rsidRDefault="00CE1636" w:rsidP="005A548B">
            <w:pPr>
              <w:rPr>
                <w:b/>
                <w:bCs/>
                <w:lang w:val="es-CO"/>
              </w:rPr>
            </w:pPr>
          </w:p>
          <w:p w14:paraId="799B9630" w14:textId="1D80E5B5" w:rsidR="00993E43" w:rsidRPr="00993E43" w:rsidRDefault="00993E43" w:rsidP="00993E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17. </w:t>
            </w:r>
            <w:r w:rsidRPr="00993E43">
              <w:rPr>
                <w:b/>
                <w:bCs/>
              </w:rPr>
              <w:t>Reconocimiento del activo: construcción, terreno y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338"/>
            </w:tblGrid>
            <w:tr w:rsidR="00993E43" w:rsidRPr="00993E43" w14:paraId="582B8B78" w14:textId="77777777" w:rsidTr="00993E43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60DD9FE7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14C537C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Valor</w:t>
                  </w:r>
                </w:p>
              </w:tc>
            </w:tr>
            <w:tr w:rsidR="00993E43" w:rsidRPr="00993E43" w14:paraId="7FC9F4D8" w14:textId="77777777" w:rsidTr="00993E43">
              <w:tc>
                <w:tcPr>
                  <w:tcW w:w="0" w:type="auto"/>
                  <w:hideMark/>
                </w:tcPr>
                <w:p w14:paraId="1992691E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Construcción</w:t>
                  </w:r>
                </w:p>
              </w:tc>
              <w:tc>
                <w:tcPr>
                  <w:tcW w:w="0" w:type="auto"/>
                  <w:hideMark/>
                </w:tcPr>
                <w:p w14:paraId="20D7544E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$45.000.000</w:t>
                  </w:r>
                </w:p>
              </w:tc>
            </w:tr>
            <w:tr w:rsidR="00993E43" w:rsidRPr="00993E43" w14:paraId="2087C5F3" w14:textId="77777777" w:rsidTr="00993E43">
              <w:tc>
                <w:tcPr>
                  <w:tcW w:w="0" w:type="auto"/>
                  <w:hideMark/>
                </w:tcPr>
                <w:p w14:paraId="01C311BC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Terreno</w:t>
                  </w:r>
                </w:p>
              </w:tc>
              <w:tc>
                <w:tcPr>
                  <w:tcW w:w="0" w:type="auto"/>
                  <w:hideMark/>
                </w:tcPr>
                <w:p w14:paraId="338C182A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$5.000.000</w:t>
                  </w:r>
                </w:p>
              </w:tc>
            </w:tr>
          </w:tbl>
          <w:p w14:paraId="4E4CB463" w14:textId="77777777" w:rsidR="00993E43" w:rsidRDefault="00993E43" w:rsidP="00993E43">
            <w:pPr>
              <w:rPr>
                <w:b/>
                <w:bCs/>
              </w:rPr>
            </w:pPr>
          </w:p>
          <w:p w14:paraId="7A23170B" w14:textId="77777777" w:rsidR="00993E43" w:rsidRDefault="00993E43" w:rsidP="00993E43">
            <w:pPr>
              <w:rPr>
                <w:b/>
                <w:bCs/>
              </w:rPr>
            </w:pPr>
          </w:p>
          <w:p w14:paraId="13C1B8B9" w14:textId="12C92790" w:rsidR="00993E43" w:rsidRPr="00993E43" w:rsidRDefault="00993E43" w:rsidP="00993E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18. </w:t>
            </w:r>
            <w:r w:rsidRPr="00993E43">
              <w:rPr>
                <w:b/>
                <w:bCs/>
              </w:rPr>
              <w:t>Costo estimado de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226"/>
            </w:tblGrid>
            <w:tr w:rsidR="00993E43" w:rsidRPr="00993E43" w14:paraId="55351856" w14:textId="77777777" w:rsidTr="00993E43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9D84297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Cálculo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87F42DE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Valor</w:t>
                  </w:r>
                </w:p>
              </w:tc>
            </w:tr>
            <w:tr w:rsidR="00993E43" w:rsidRPr="00993E43" w14:paraId="7FC6BDB5" w14:textId="77777777" w:rsidTr="00993E43">
              <w:tc>
                <w:tcPr>
                  <w:tcW w:w="0" w:type="auto"/>
                  <w:hideMark/>
                </w:tcPr>
                <w:p w14:paraId="70F38557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 xml:space="preserve">VP = </w:t>
                  </w:r>
                  <w:proofErr w:type="spellStart"/>
                  <w:r w:rsidRPr="00993E43">
                    <w:rPr>
                      <w:b/>
                      <w:bCs/>
                    </w:rPr>
                    <w:t>VF</w:t>
                  </w:r>
                  <w:proofErr w:type="spellEnd"/>
                  <w:r w:rsidRPr="00993E43">
                    <w:rPr>
                      <w:b/>
                      <w:bCs/>
                    </w:rPr>
                    <w:t xml:space="preserve"> / (1 + </w:t>
                  </w:r>
                  <w:proofErr w:type="gramStart"/>
                  <w:r w:rsidRPr="00993E43">
                    <w:rPr>
                      <w:b/>
                      <w:bCs/>
                    </w:rPr>
                    <w:t>i)^</w:t>
                  </w:r>
                  <w:proofErr w:type="gramEnd"/>
                  <w:r w:rsidRPr="00993E43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hideMark/>
                </w:tcPr>
                <w:p w14:paraId="494F3C3D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$1.559.024</w:t>
                  </w:r>
                </w:p>
              </w:tc>
            </w:tr>
          </w:tbl>
          <w:p w14:paraId="0668C8E3" w14:textId="392E7DEA" w:rsidR="00993E43" w:rsidRPr="00993E43" w:rsidRDefault="00993E43" w:rsidP="00993E43">
            <w:pPr>
              <w:rPr>
                <w:b/>
                <w:bCs/>
              </w:rPr>
            </w:pPr>
          </w:p>
          <w:p w14:paraId="7CEF50F4" w14:textId="672B8954" w:rsidR="00993E43" w:rsidRPr="00993E43" w:rsidRDefault="00993E43" w:rsidP="00993E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19. </w:t>
            </w:r>
            <w:r w:rsidRPr="00993E43">
              <w:rPr>
                <w:b/>
                <w:bCs/>
              </w:rPr>
              <w:t>Medición inicial del activo adquirido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056"/>
              <w:gridCol w:w="1338"/>
              <w:gridCol w:w="1338"/>
            </w:tblGrid>
            <w:tr w:rsidR="00993E43" w:rsidRPr="00993E43" w14:paraId="2EEF1E3D" w14:textId="77777777" w:rsidTr="00993E43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4018C17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A68141D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15D87A80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2CE02B6F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Crédito</w:t>
                  </w:r>
                </w:p>
              </w:tc>
            </w:tr>
            <w:tr w:rsidR="00993E43" w:rsidRPr="00993E43" w14:paraId="219A8A00" w14:textId="77777777" w:rsidTr="00993E43">
              <w:tc>
                <w:tcPr>
                  <w:tcW w:w="0" w:type="auto"/>
                  <w:hideMark/>
                </w:tcPr>
                <w:p w14:paraId="2667C6A1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150405</w:t>
                  </w:r>
                </w:p>
              </w:tc>
              <w:tc>
                <w:tcPr>
                  <w:tcW w:w="0" w:type="auto"/>
                  <w:hideMark/>
                </w:tcPr>
                <w:p w14:paraId="763BD85D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Terrenos urbanos</w:t>
                  </w:r>
                </w:p>
              </w:tc>
              <w:tc>
                <w:tcPr>
                  <w:tcW w:w="0" w:type="auto"/>
                  <w:hideMark/>
                </w:tcPr>
                <w:p w14:paraId="70E86BBB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$5.000.000</w:t>
                  </w:r>
                </w:p>
              </w:tc>
              <w:tc>
                <w:tcPr>
                  <w:tcW w:w="0" w:type="auto"/>
                  <w:hideMark/>
                </w:tcPr>
                <w:p w14:paraId="1F79E031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</w:p>
              </w:tc>
            </w:tr>
            <w:tr w:rsidR="00993E43" w:rsidRPr="00993E43" w14:paraId="45229160" w14:textId="77777777" w:rsidTr="00993E43">
              <w:tc>
                <w:tcPr>
                  <w:tcW w:w="0" w:type="auto"/>
                  <w:hideMark/>
                </w:tcPr>
                <w:p w14:paraId="40ACDF71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151610</w:t>
                  </w:r>
                </w:p>
              </w:tc>
              <w:tc>
                <w:tcPr>
                  <w:tcW w:w="0" w:type="auto"/>
                  <w:hideMark/>
                </w:tcPr>
                <w:p w14:paraId="4304C9CB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Bodega</w:t>
                  </w:r>
                </w:p>
              </w:tc>
              <w:tc>
                <w:tcPr>
                  <w:tcW w:w="0" w:type="auto"/>
                  <w:hideMark/>
                </w:tcPr>
                <w:p w14:paraId="29BE3F1F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$46.559.024</w:t>
                  </w:r>
                </w:p>
              </w:tc>
              <w:tc>
                <w:tcPr>
                  <w:tcW w:w="0" w:type="auto"/>
                  <w:hideMark/>
                </w:tcPr>
                <w:p w14:paraId="028861F4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</w:p>
              </w:tc>
            </w:tr>
            <w:tr w:rsidR="00993E43" w:rsidRPr="00993E43" w14:paraId="68B66AB9" w14:textId="77777777" w:rsidTr="00993E43">
              <w:tc>
                <w:tcPr>
                  <w:tcW w:w="0" w:type="auto"/>
                  <w:hideMark/>
                </w:tcPr>
                <w:p w14:paraId="5A2FF182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299501</w:t>
                  </w:r>
                </w:p>
              </w:tc>
              <w:tc>
                <w:tcPr>
                  <w:tcW w:w="0" w:type="auto"/>
                  <w:hideMark/>
                </w:tcPr>
                <w:p w14:paraId="7C50ECB4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Provisión desmantelamiento</w:t>
                  </w:r>
                </w:p>
              </w:tc>
              <w:tc>
                <w:tcPr>
                  <w:tcW w:w="0" w:type="auto"/>
                  <w:hideMark/>
                </w:tcPr>
                <w:p w14:paraId="4795A57C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FA55B2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$1.559.024</w:t>
                  </w:r>
                </w:p>
              </w:tc>
            </w:tr>
            <w:tr w:rsidR="00993E43" w:rsidRPr="00993E43" w14:paraId="061AA048" w14:textId="77777777" w:rsidTr="00993E43">
              <w:tc>
                <w:tcPr>
                  <w:tcW w:w="0" w:type="auto"/>
                  <w:hideMark/>
                </w:tcPr>
                <w:p w14:paraId="39292BFA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7B88D774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Costos y gastos por pagar</w:t>
                  </w:r>
                </w:p>
              </w:tc>
              <w:tc>
                <w:tcPr>
                  <w:tcW w:w="0" w:type="auto"/>
                  <w:hideMark/>
                </w:tcPr>
                <w:p w14:paraId="4BBE81D7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87E2F4" w14:textId="77777777" w:rsidR="00993E43" w:rsidRPr="00993E43" w:rsidRDefault="00993E43" w:rsidP="00993E43">
                  <w:pPr>
                    <w:rPr>
                      <w:b/>
                      <w:bCs/>
                    </w:rPr>
                  </w:pPr>
                  <w:r w:rsidRPr="00993E43">
                    <w:rPr>
                      <w:b/>
                      <w:bCs/>
                    </w:rPr>
                    <w:t>$50.000.000</w:t>
                  </w:r>
                </w:p>
              </w:tc>
            </w:tr>
          </w:tbl>
          <w:p w14:paraId="4A3718F9" w14:textId="77777777" w:rsidR="00993E43" w:rsidRDefault="00993E43" w:rsidP="005A548B">
            <w:pPr>
              <w:rPr>
                <w:b/>
                <w:bCs/>
                <w:lang w:val="es-CO"/>
              </w:rPr>
            </w:pPr>
          </w:p>
        </w:tc>
      </w:tr>
      <w:tr w:rsidR="00CE1636" w:rsidRPr="005A548B" w14:paraId="48E200BA" w14:textId="77777777" w:rsidTr="00483F87">
        <w:tc>
          <w:tcPr>
            <w:tcW w:w="7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988" w14:textId="77E1903A" w:rsidR="00CE1636" w:rsidRDefault="00483F87" w:rsidP="005A548B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tablas</w:t>
            </w:r>
          </w:p>
          <w:p w14:paraId="4812D0EB" w14:textId="35BC81DA" w:rsidR="00AB3AD7" w:rsidRPr="00E07388" w:rsidRDefault="00AB3AD7" w:rsidP="005A548B">
            <w:pPr>
              <w:rPr>
                <w:color w:val="FF0000"/>
                <w:lang w:val="es-CO"/>
              </w:rPr>
            </w:pPr>
            <w:r w:rsidRPr="00AB3AD7">
              <w:rPr>
                <w:noProof/>
                <w:color w:val="FF0000"/>
                <w:lang w:val="es-CO"/>
              </w:rPr>
              <w:lastRenderedPageBreak/>
              <w:drawing>
                <wp:inline distT="0" distB="0" distL="0" distR="0" wp14:anchorId="1BCE4A96" wp14:editId="7EB99D29">
                  <wp:extent cx="4144488" cy="1289273"/>
                  <wp:effectExtent l="0" t="0" r="8890" b="6350"/>
                  <wp:docPr id="190897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971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12" cy="129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93DE" w14:textId="77777777" w:rsidR="00CE1636" w:rsidRDefault="00CE1636" w:rsidP="005A548B">
            <w:pPr>
              <w:rPr>
                <w:b/>
                <w:bCs/>
                <w:lang w:val="es-CO"/>
              </w:rPr>
            </w:pPr>
          </w:p>
          <w:p w14:paraId="2BAA30E0" w14:textId="409384D9" w:rsidR="00AB3AD7" w:rsidRPr="00AB3AD7" w:rsidRDefault="006B7C30" w:rsidP="00AB3A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20.  </w:t>
            </w:r>
            <w:r w:rsidR="00AB3AD7" w:rsidRPr="00AB3AD7">
              <w:rPr>
                <w:b/>
                <w:bCs/>
              </w:rPr>
              <w:t>Reconocimiento del activo: construcción, terreno y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338"/>
            </w:tblGrid>
            <w:tr w:rsidR="00AB3AD7" w:rsidRPr="00AB3AD7" w14:paraId="6784F418" w14:textId="77777777" w:rsidTr="006B7C30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B21CF90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Concepto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1B24A2C4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Valor</w:t>
                  </w:r>
                </w:p>
              </w:tc>
            </w:tr>
            <w:tr w:rsidR="00AB3AD7" w:rsidRPr="00AB3AD7" w14:paraId="369ACF13" w14:textId="77777777" w:rsidTr="00AB3AD7">
              <w:tc>
                <w:tcPr>
                  <w:tcW w:w="0" w:type="auto"/>
                  <w:hideMark/>
                </w:tcPr>
                <w:p w14:paraId="72953414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Construcción</w:t>
                  </w:r>
                </w:p>
              </w:tc>
              <w:tc>
                <w:tcPr>
                  <w:tcW w:w="0" w:type="auto"/>
                  <w:hideMark/>
                </w:tcPr>
                <w:p w14:paraId="60FBCAAA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$45.000.000</w:t>
                  </w:r>
                </w:p>
              </w:tc>
            </w:tr>
            <w:tr w:rsidR="00AB3AD7" w:rsidRPr="00AB3AD7" w14:paraId="7F87D49A" w14:textId="77777777" w:rsidTr="00AB3AD7">
              <w:tc>
                <w:tcPr>
                  <w:tcW w:w="0" w:type="auto"/>
                  <w:hideMark/>
                </w:tcPr>
                <w:p w14:paraId="6C06D448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Terreno</w:t>
                  </w:r>
                </w:p>
              </w:tc>
              <w:tc>
                <w:tcPr>
                  <w:tcW w:w="0" w:type="auto"/>
                  <w:hideMark/>
                </w:tcPr>
                <w:p w14:paraId="5D0AB9D4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$5.000.000</w:t>
                  </w:r>
                </w:p>
              </w:tc>
            </w:tr>
          </w:tbl>
          <w:p w14:paraId="18F408F1" w14:textId="5288BF8F" w:rsidR="00AB3AD7" w:rsidRPr="00AB3AD7" w:rsidRDefault="006B7C30" w:rsidP="00AB3A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Tabla 20.  </w:t>
            </w:r>
            <w:r w:rsidR="00AB3AD7" w:rsidRPr="00AB3AD7">
              <w:rPr>
                <w:b/>
                <w:bCs/>
              </w:rPr>
              <w:t>Costo estimado de desmantelamiento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226"/>
            </w:tblGrid>
            <w:tr w:rsidR="00AB3AD7" w:rsidRPr="00AB3AD7" w14:paraId="179DCB2F" w14:textId="77777777" w:rsidTr="006B7C30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6507B5BA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Cálculo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3D398E7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Valor</w:t>
                  </w:r>
                </w:p>
              </w:tc>
            </w:tr>
            <w:tr w:rsidR="00AB3AD7" w:rsidRPr="00AB3AD7" w14:paraId="17D84E7F" w14:textId="77777777" w:rsidTr="00AB3AD7">
              <w:tc>
                <w:tcPr>
                  <w:tcW w:w="0" w:type="auto"/>
                  <w:hideMark/>
                </w:tcPr>
                <w:p w14:paraId="1B8887E5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 xml:space="preserve">VP = </w:t>
                  </w:r>
                  <w:proofErr w:type="spellStart"/>
                  <w:r w:rsidRPr="00AB3AD7">
                    <w:rPr>
                      <w:b/>
                      <w:bCs/>
                    </w:rPr>
                    <w:t>VF</w:t>
                  </w:r>
                  <w:proofErr w:type="spellEnd"/>
                  <w:r w:rsidRPr="00AB3AD7">
                    <w:rPr>
                      <w:b/>
                      <w:bCs/>
                    </w:rPr>
                    <w:t xml:space="preserve"> / (1 + </w:t>
                  </w:r>
                  <w:proofErr w:type="gramStart"/>
                  <w:r w:rsidRPr="00AB3AD7">
                    <w:rPr>
                      <w:b/>
                      <w:bCs/>
                    </w:rPr>
                    <w:t>i)^</w:t>
                  </w:r>
                  <w:proofErr w:type="gramEnd"/>
                  <w:r w:rsidRPr="00AB3AD7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hideMark/>
                </w:tcPr>
                <w:p w14:paraId="5FD20A0C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$1.559.024</w:t>
                  </w:r>
                </w:p>
              </w:tc>
            </w:tr>
          </w:tbl>
          <w:p w14:paraId="60481356" w14:textId="69DA1812" w:rsidR="00AB3AD7" w:rsidRPr="00AB3AD7" w:rsidRDefault="00AB3AD7" w:rsidP="00AB3AD7">
            <w:pPr>
              <w:rPr>
                <w:b/>
                <w:bCs/>
              </w:rPr>
            </w:pPr>
          </w:p>
          <w:p w14:paraId="481AA2BB" w14:textId="02BF303C" w:rsidR="00AB3AD7" w:rsidRPr="00AB3AD7" w:rsidRDefault="006B7C30" w:rsidP="00AB3A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21.  </w:t>
            </w:r>
            <w:r w:rsidR="00AB3AD7" w:rsidRPr="00AB3AD7">
              <w:rPr>
                <w:b/>
                <w:bCs/>
              </w:rPr>
              <w:t>Medición inicial del activo adquirido como inversión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2056"/>
              <w:gridCol w:w="1338"/>
              <w:gridCol w:w="1338"/>
            </w:tblGrid>
            <w:tr w:rsidR="00AB3AD7" w:rsidRPr="00AB3AD7" w14:paraId="729A9421" w14:textId="77777777" w:rsidTr="006B7C30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0E1CDA1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19A7055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0CD4345D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3E99233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Crédito</w:t>
                  </w:r>
                </w:p>
              </w:tc>
            </w:tr>
            <w:tr w:rsidR="00AB3AD7" w:rsidRPr="00AB3AD7" w14:paraId="6A78948A" w14:textId="77777777" w:rsidTr="00AB3AD7">
              <w:tc>
                <w:tcPr>
                  <w:tcW w:w="0" w:type="auto"/>
                  <w:hideMark/>
                </w:tcPr>
                <w:p w14:paraId="2F319B84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150405</w:t>
                  </w:r>
                </w:p>
              </w:tc>
              <w:tc>
                <w:tcPr>
                  <w:tcW w:w="0" w:type="auto"/>
                  <w:hideMark/>
                </w:tcPr>
                <w:p w14:paraId="1D27F597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Terrenos urbanos</w:t>
                  </w:r>
                </w:p>
              </w:tc>
              <w:tc>
                <w:tcPr>
                  <w:tcW w:w="0" w:type="auto"/>
                  <w:hideMark/>
                </w:tcPr>
                <w:p w14:paraId="21056525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$5.000.000</w:t>
                  </w:r>
                </w:p>
              </w:tc>
              <w:tc>
                <w:tcPr>
                  <w:tcW w:w="0" w:type="auto"/>
                  <w:hideMark/>
                </w:tcPr>
                <w:p w14:paraId="6705F443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</w:p>
              </w:tc>
            </w:tr>
            <w:tr w:rsidR="00AB3AD7" w:rsidRPr="00AB3AD7" w14:paraId="5A23CF06" w14:textId="77777777" w:rsidTr="00AB3AD7">
              <w:tc>
                <w:tcPr>
                  <w:tcW w:w="0" w:type="auto"/>
                  <w:hideMark/>
                </w:tcPr>
                <w:p w14:paraId="2EE7690C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151601</w:t>
                  </w:r>
                </w:p>
              </w:tc>
              <w:tc>
                <w:tcPr>
                  <w:tcW w:w="0" w:type="auto"/>
                  <w:hideMark/>
                </w:tcPr>
                <w:p w14:paraId="7EB5AEF2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Bodega de inversión</w:t>
                  </w:r>
                </w:p>
              </w:tc>
              <w:tc>
                <w:tcPr>
                  <w:tcW w:w="0" w:type="auto"/>
                  <w:hideMark/>
                </w:tcPr>
                <w:p w14:paraId="1B0585F5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$45.000.000</w:t>
                  </w:r>
                </w:p>
              </w:tc>
              <w:tc>
                <w:tcPr>
                  <w:tcW w:w="0" w:type="auto"/>
                  <w:hideMark/>
                </w:tcPr>
                <w:p w14:paraId="3DF0CE36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</w:p>
              </w:tc>
            </w:tr>
            <w:tr w:rsidR="00AB3AD7" w:rsidRPr="00AB3AD7" w14:paraId="6DD3EDDE" w14:textId="77777777" w:rsidTr="00AB3AD7">
              <w:tc>
                <w:tcPr>
                  <w:tcW w:w="0" w:type="auto"/>
                  <w:hideMark/>
                </w:tcPr>
                <w:p w14:paraId="2AC9F81E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233505</w:t>
                  </w:r>
                </w:p>
              </w:tc>
              <w:tc>
                <w:tcPr>
                  <w:tcW w:w="0" w:type="auto"/>
                  <w:hideMark/>
                </w:tcPr>
                <w:p w14:paraId="21404FB2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Costos y gastos por pagar</w:t>
                  </w:r>
                </w:p>
              </w:tc>
              <w:tc>
                <w:tcPr>
                  <w:tcW w:w="0" w:type="auto"/>
                  <w:hideMark/>
                </w:tcPr>
                <w:p w14:paraId="3B3E2D5E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5F307C" w14:textId="77777777" w:rsidR="00AB3AD7" w:rsidRPr="00AB3AD7" w:rsidRDefault="00AB3AD7" w:rsidP="00AB3AD7">
                  <w:pPr>
                    <w:rPr>
                      <w:b/>
                      <w:bCs/>
                    </w:rPr>
                  </w:pPr>
                  <w:r w:rsidRPr="00AB3AD7">
                    <w:rPr>
                      <w:b/>
                      <w:bCs/>
                    </w:rPr>
                    <w:t>$50.000.000</w:t>
                  </w:r>
                </w:p>
              </w:tc>
            </w:tr>
          </w:tbl>
          <w:p w14:paraId="14E5A46F" w14:textId="77777777" w:rsidR="00AB3AD7" w:rsidRDefault="00AB3AD7" w:rsidP="005A548B">
            <w:pPr>
              <w:rPr>
                <w:b/>
                <w:bCs/>
                <w:lang w:val="es-CO"/>
              </w:rPr>
            </w:pPr>
          </w:p>
        </w:tc>
      </w:tr>
    </w:tbl>
    <w:p w14:paraId="596EDDCD" w14:textId="77777777" w:rsidR="00483F87" w:rsidRDefault="00483F87">
      <w:r>
        <w:lastRenderedPageBreak/>
        <w:br w:type="page"/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941"/>
        <w:gridCol w:w="6379"/>
      </w:tblGrid>
      <w:tr w:rsidR="000F43CA" w:rsidRPr="005A548B" w14:paraId="3419352B" w14:textId="77777777" w:rsidTr="00483F87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3B71" w14:textId="1AA224EA" w:rsidR="000F43CA" w:rsidRDefault="000F43CA" w:rsidP="005A548B">
            <w:pPr>
              <w:rPr>
                <w:color w:val="FF0000"/>
                <w:lang w:val="es-CO"/>
              </w:rPr>
            </w:pPr>
          </w:p>
          <w:p w14:paraId="7214C2AD" w14:textId="42D0BEEE" w:rsidR="00483F87" w:rsidRDefault="00483F87" w:rsidP="005A548B">
            <w:pPr>
              <w:rPr>
                <w:color w:val="FF0000"/>
                <w:lang w:val="es-CO"/>
              </w:rPr>
            </w:pPr>
            <w:r w:rsidRPr="00E07388">
              <w:rPr>
                <w:color w:val="FF0000"/>
                <w:lang w:val="es-CO"/>
              </w:rPr>
              <w:t xml:space="preserve">Colocar </w:t>
            </w:r>
            <w:proofErr w:type="spellStart"/>
            <w:r w:rsidRPr="00E07388">
              <w:rPr>
                <w:color w:val="FF0000"/>
                <w:lang w:val="es-CO"/>
              </w:rPr>
              <w:t>titulo</w:t>
            </w:r>
            <w:proofErr w:type="spellEnd"/>
            <w:r>
              <w:rPr>
                <w:color w:val="FF0000"/>
                <w:lang w:val="es-CO"/>
              </w:rPr>
              <w:t xml:space="preserve"> y ajustar tabla</w:t>
            </w:r>
          </w:p>
          <w:p w14:paraId="3EE11A3F" w14:textId="4FA05614" w:rsidR="00483F87" w:rsidRPr="00E07388" w:rsidRDefault="00483F87" w:rsidP="005A548B">
            <w:pPr>
              <w:rPr>
                <w:color w:val="FF0000"/>
                <w:lang w:val="es-CO"/>
              </w:rPr>
            </w:pPr>
            <w:r w:rsidRPr="00483F87">
              <w:rPr>
                <w:noProof/>
                <w:color w:val="FF0000"/>
                <w:lang w:val="es-CO"/>
              </w:rPr>
              <w:drawing>
                <wp:inline distT="0" distB="0" distL="0" distR="0" wp14:anchorId="55132EEE" wp14:editId="2355C14F">
                  <wp:extent cx="3918857" cy="1217036"/>
                  <wp:effectExtent l="0" t="0" r="5715" b="2540"/>
                  <wp:docPr id="515041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412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702" cy="12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CA43" w14:textId="77777777" w:rsidR="000F43CA" w:rsidRDefault="000F43CA" w:rsidP="005A548B">
            <w:pPr>
              <w:rPr>
                <w:b/>
                <w:bCs/>
                <w:lang w:val="es-CO"/>
              </w:rPr>
            </w:pPr>
          </w:p>
          <w:p w14:paraId="7557C424" w14:textId="77777777" w:rsidR="00483F87" w:rsidRDefault="00483F87" w:rsidP="005A548B">
            <w:pPr>
              <w:rPr>
                <w:b/>
                <w:bCs/>
                <w:lang w:val="es-CO"/>
              </w:rPr>
            </w:pPr>
          </w:p>
          <w:p w14:paraId="1160D61E" w14:textId="44F4AD49" w:rsidR="00483F87" w:rsidRPr="00483F87" w:rsidRDefault="00483F87" w:rsidP="00483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Tabla 22.  </w:t>
            </w:r>
            <w:r w:rsidRPr="00483F87">
              <w:rPr>
                <w:b/>
                <w:bCs/>
              </w:rPr>
              <w:t>Reconocimiento contable de propiedad adquirida para la venta</w:t>
            </w:r>
          </w:p>
          <w:p w14:paraId="4B02FA90" w14:textId="6746BB4E" w:rsidR="00483F87" w:rsidRPr="00483F87" w:rsidRDefault="00483F87" w:rsidP="00483F8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6"/>
              <w:gridCol w:w="1658"/>
              <w:gridCol w:w="1449"/>
              <w:gridCol w:w="1449"/>
            </w:tblGrid>
            <w:tr w:rsidR="00483F87" w:rsidRPr="00483F87" w14:paraId="2F2E893B" w14:textId="77777777" w:rsidTr="00483F87"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C5352F5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Código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33A26961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Cuenta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78B1890C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Débito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  <w:hideMark/>
                </w:tcPr>
                <w:p w14:paraId="4DE39741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Crédito</w:t>
                  </w:r>
                </w:p>
              </w:tc>
            </w:tr>
            <w:tr w:rsidR="00483F87" w:rsidRPr="00483F87" w14:paraId="5FB08DF4" w14:textId="77777777" w:rsidTr="00483F87">
              <w:tc>
                <w:tcPr>
                  <w:tcW w:w="0" w:type="auto"/>
                  <w:hideMark/>
                </w:tcPr>
                <w:p w14:paraId="27537680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151601</w:t>
                  </w:r>
                </w:p>
              </w:tc>
              <w:tc>
                <w:tcPr>
                  <w:tcW w:w="0" w:type="auto"/>
                  <w:hideMark/>
                </w:tcPr>
                <w:p w14:paraId="47F5CCB7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Casa para venta</w:t>
                  </w:r>
                </w:p>
              </w:tc>
              <w:tc>
                <w:tcPr>
                  <w:tcW w:w="0" w:type="auto"/>
                  <w:hideMark/>
                </w:tcPr>
                <w:p w14:paraId="3BBB5582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$100.000.000</w:t>
                  </w:r>
                </w:p>
              </w:tc>
              <w:tc>
                <w:tcPr>
                  <w:tcW w:w="0" w:type="auto"/>
                  <w:hideMark/>
                </w:tcPr>
                <w:p w14:paraId="1CCC2B94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</w:p>
              </w:tc>
            </w:tr>
            <w:tr w:rsidR="00483F87" w:rsidRPr="00483F87" w14:paraId="3B30EA27" w14:textId="77777777" w:rsidTr="00483F87">
              <w:tc>
                <w:tcPr>
                  <w:tcW w:w="0" w:type="auto"/>
                  <w:hideMark/>
                </w:tcPr>
                <w:p w14:paraId="1342A488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233205</w:t>
                  </w:r>
                </w:p>
              </w:tc>
              <w:tc>
                <w:tcPr>
                  <w:tcW w:w="0" w:type="auto"/>
                  <w:hideMark/>
                </w:tcPr>
                <w:p w14:paraId="7EAEB58B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7781EC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BFE7EA" w14:textId="77777777" w:rsidR="00483F87" w:rsidRPr="00483F87" w:rsidRDefault="00483F87" w:rsidP="00483F87">
                  <w:pPr>
                    <w:rPr>
                      <w:b/>
                      <w:bCs/>
                    </w:rPr>
                  </w:pPr>
                  <w:r w:rsidRPr="00483F87">
                    <w:rPr>
                      <w:b/>
                      <w:bCs/>
                    </w:rPr>
                    <w:t>$100.000.000</w:t>
                  </w:r>
                </w:p>
              </w:tc>
            </w:tr>
          </w:tbl>
          <w:p w14:paraId="5CB8AEDD" w14:textId="77777777" w:rsidR="00483F87" w:rsidRDefault="00483F87" w:rsidP="005A548B">
            <w:pPr>
              <w:rPr>
                <w:b/>
                <w:bCs/>
                <w:lang w:val="es-CO"/>
              </w:rPr>
            </w:pPr>
          </w:p>
        </w:tc>
      </w:tr>
      <w:tr w:rsidR="000F43CA" w:rsidRPr="005A548B" w14:paraId="25D7B9D6" w14:textId="77777777" w:rsidTr="00483F87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731" w14:textId="77777777" w:rsidR="000F43CA" w:rsidRDefault="000F43CA" w:rsidP="005A548B">
            <w:pPr>
              <w:rPr>
                <w:color w:val="FF0000"/>
                <w:lang w:val="es-CO"/>
              </w:rPr>
            </w:pPr>
          </w:p>
          <w:p w14:paraId="0F263FDE" w14:textId="7BBA5D21" w:rsidR="0051211B" w:rsidRDefault="0051211B" w:rsidP="005A548B">
            <w:pPr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>Incluir síntesis</w:t>
            </w:r>
          </w:p>
          <w:p w14:paraId="3616B032" w14:textId="77777777" w:rsidR="0051211B" w:rsidRDefault="0051211B" w:rsidP="005A548B">
            <w:pPr>
              <w:rPr>
                <w:color w:val="FF0000"/>
                <w:lang w:val="es-CO"/>
              </w:rPr>
            </w:pPr>
          </w:p>
          <w:p w14:paraId="747BE79A" w14:textId="77777777" w:rsidR="0051211B" w:rsidRPr="0051211B" w:rsidRDefault="0051211B" w:rsidP="0051211B">
            <w:pPr>
              <w:rPr>
                <w:color w:val="FF0000"/>
                <w:lang w:val="es-CO"/>
              </w:rPr>
            </w:pPr>
          </w:p>
          <w:p w14:paraId="5071031E" w14:textId="77777777" w:rsidR="0051211B" w:rsidRPr="0051211B" w:rsidRDefault="0051211B" w:rsidP="0051211B">
            <w:pPr>
              <w:rPr>
                <w:color w:val="FF0000"/>
              </w:rPr>
            </w:pPr>
            <w:r w:rsidRPr="0051211B">
              <w:rPr>
                <w:color w:val="000000" w:themeColor="text1"/>
                <w:lang w:val="es-CO"/>
              </w:rPr>
              <w:t>A continuación, se presenta una síntesis de la temática estudiada en el componente formativo.</w:t>
            </w:r>
            <w:r w:rsidRPr="0051211B">
              <w:rPr>
                <w:color w:val="000000" w:themeColor="text1"/>
              </w:rPr>
              <w:t xml:space="preserve"> </w:t>
            </w:r>
          </w:p>
          <w:p w14:paraId="3A69EDFF" w14:textId="77777777" w:rsidR="0051211B" w:rsidRDefault="0051211B" w:rsidP="005A548B">
            <w:pPr>
              <w:rPr>
                <w:color w:val="FF0000"/>
                <w:lang w:val="es-CO"/>
              </w:rPr>
            </w:pPr>
          </w:p>
          <w:p w14:paraId="41199549" w14:textId="564242B5" w:rsidR="0051211B" w:rsidRPr="00E07388" w:rsidRDefault="0051211B" w:rsidP="005A548B">
            <w:pPr>
              <w:rPr>
                <w:color w:val="FF0000"/>
                <w:lang w:val="es-CO"/>
              </w:rPr>
            </w:pPr>
            <w:r w:rsidRPr="0051211B">
              <w:rPr>
                <w:noProof/>
                <w:color w:val="FF0000"/>
                <w:lang w:val="es-CO"/>
              </w:rPr>
              <w:drawing>
                <wp:inline distT="0" distB="0" distL="0" distR="0" wp14:anchorId="4705F97A" wp14:editId="4BA729C3">
                  <wp:extent cx="2612571" cy="2469238"/>
                  <wp:effectExtent l="0" t="0" r="0" b="7620"/>
                  <wp:docPr id="1803871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712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279" cy="247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AAA5" w14:textId="77777777" w:rsidR="000F43CA" w:rsidRDefault="0051211B" w:rsidP="005A548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Texto alternativo:</w:t>
            </w:r>
          </w:p>
          <w:p w14:paraId="3200F3CF" w14:textId="77777777" w:rsidR="0051211B" w:rsidRDefault="0051211B" w:rsidP="005A548B">
            <w:pPr>
              <w:rPr>
                <w:b/>
                <w:bCs/>
                <w:lang w:val="es-CO"/>
              </w:rPr>
            </w:pPr>
          </w:p>
          <w:p w14:paraId="0D80EB83" w14:textId="51129EC6" w:rsidR="0051211B" w:rsidRPr="0051211B" w:rsidRDefault="0051211B" w:rsidP="005A548B">
            <w:pPr>
              <w:rPr>
                <w:lang w:val="es-CO"/>
              </w:rPr>
            </w:pPr>
            <w:r w:rsidRPr="0051211B">
              <w:t>Síntesis sobre el reconocimiento de activos según NIIF que clasifica los activos en propiedad, planta y equipo; propiedades de inversión; y activos mantenidos para la venta. Incluye criterios de uso, normas aplicables (NIC 16, NIC 40 y NIIF 5), métodos de medición, tratamiento del deterioro y depreciación.</w:t>
            </w:r>
          </w:p>
        </w:tc>
      </w:tr>
    </w:tbl>
    <w:p w14:paraId="48D433C5" w14:textId="77777777" w:rsidR="005A548B" w:rsidRDefault="005A548B">
      <w:pPr>
        <w:rPr>
          <w:lang w:val="es-CO"/>
        </w:rPr>
      </w:pPr>
    </w:p>
    <w:p w14:paraId="22AE6283" w14:textId="77777777" w:rsidR="008D5022" w:rsidRPr="00E44231" w:rsidRDefault="008D5022">
      <w:pPr>
        <w:rPr>
          <w:b/>
          <w:bCs/>
          <w:color w:val="FF0000"/>
          <w:lang w:val="es-CO"/>
        </w:rPr>
      </w:pPr>
    </w:p>
    <w:p w14:paraId="3490415F" w14:textId="49E236E2" w:rsidR="00E41C81" w:rsidRDefault="00E44231">
      <w:pPr>
        <w:rPr>
          <w:lang w:val="es-CO"/>
        </w:rPr>
      </w:pPr>
      <w:proofErr w:type="gramStart"/>
      <w:r w:rsidRPr="00E44231">
        <w:rPr>
          <w:b/>
          <w:bCs/>
          <w:color w:val="FF0000"/>
          <w:lang w:val="es-CO"/>
        </w:rPr>
        <w:t>Actualizar  el</w:t>
      </w:r>
      <w:proofErr w:type="gramEnd"/>
      <w:r w:rsidRPr="00E44231">
        <w:rPr>
          <w:b/>
          <w:bCs/>
          <w:color w:val="FF0000"/>
          <w:lang w:val="es-CO"/>
        </w:rPr>
        <w:t xml:space="preserve"> material complementario a: </w:t>
      </w:r>
    </w:p>
    <w:p w14:paraId="6A876762" w14:textId="35700DA6" w:rsidR="00E41C81" w:rsidRPr="00E41C81" w:rsidRDefault="00E41C81" w:rsidP="00E41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5415"/>
        <w:gridCol w:w="933"/>
        <w:gridCol w:w="5307"/>
      </w:tblGrid>
      <w:tr w:rsidR="00E41C81" w:rsidRPr="00E41C81" w14:paraId="4E996A2B" w14:textId="77777777" w:rsidTr="00E41C81">
        <w:tc>
          <w:tcPr>
            <w:tcW w:w="0" w:type="auto"/>
            <w:hideMark/>
          </w:tcPr>
          <w:p w14:paraId="6795FFC1" w14:textId="1F29F899" w:rsidR="00E41C81" w:rsidRPr="00E41C81" w:rsidRDefault="00E41C81" w:rsidP="00E41C8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Tema </w:t>
            </w:r>
          </w:p>
        </w:tc>
        <w:tc>
          <w:tcPr>
            <w:tcW w:w="0" w:type="auto"/>
            <w:hideMark/>
          </w:tcPr>
          <w:p w14:paraId="00817133" w14:textId="77777777" w:rsidR="00E41C81" w:rsidRPr="00E41C81" w:rsidRDefault="00E41C81" w:rsidP="00E41C81">
            <w:pPr>
              <w:spacing w:after="160" w:line="259" w:lineRule="auto"/>
              <w:rPr>
                <w:b/>
                <w:bCs/>
              </w:rPr>
            </w:pPr>
            <w:r w:rsidRPr="00E41C81">
              <w:rPr>
                <w:b/>
                <w:bCs/>
              </w:rPr>
              <w:t>Referencia (APA 7)</w:t>
            </w:r>
          </w:p>
        </w:tc>
        <w:tc>
          <w:tcPr>
            <w:tcW w:w="0" w:type="auto"/>
            <w:hideMark/>
          </w:tcPr>
          <w:p w14:paraId="00E05C17" w14:textId="77777777" w:rsidR="00E41C81" w:rsidRPr="00E41C81" w:rsidRDefault="00E41C81" w:rsidP="00E41C81">
            <w:pPr>
              <w:spacing w:after="160" w:line="259" w:lineRule="auto"/>
              <w:rPr>
                <w:b/>
                <w:bCs/>
              </w:rPr>
            </w:pPr>
            <w:r w:rsidRPr="00E41C81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3A39986D" w14:textId="77777777" w:rsidR="00E41C81" w:rsidRPr="00E41C81" w:rsidRDefault="00E41C81" w:rsidP="00E41C81">
            <w:pPr>
              <w:spacing w:after="160" w:line="259" w:lineRule="auto"/>
              <w:rPr>
                <w:b/>
                <w:bCs/>
              </w:rPr>
            </w:pPr>
            <w:r w:rsidRPr="00E41C81">
              <w:rPr>
                <w:b/>
                <w:bCs/>
              </w:rPr>
              <w:t>Enlace</w:t>
            </w:r>
          </w:p>
        </w:tc>
      </w:tr>
      <w:tr w:rsidR="00E41C81" w:rsidRPr="00E41C81" w14:paraId="58C01112" w14:textId="77777777" w:rsidTr="00E41C81">
        <w:tc>
          <w:tcPr>
            <w:tcW w:w="0" w:type="auto"/>
            <w:hideMark/>
          </w:tcPr>
          <w:p w14:paraId="6E8AD9AC" w14:textId="2832C7BF" w:rsidR="00E41C81" w:rsidRPr="00E41C81" w:rsidRDefault="00E41C81" w:rsidP="00E41C81">
            <w:pPr>
              <w:spacing w:after="160" w:line="259" w:lineRule="auto"/>
            </w:pPr>
            <w:r w:rsidRPr="00E41C81">
              <w:t xml:space="preserve">Política contable </w:t>
            </w:r>
            <w:proofErr w:type="spellStart"/>
            <w:r w:rsidRPr="00E41C81">
              <w:t>PPYE</w:t>
            </w:r>
            <w:proofErr w:type="spellEnd"/>
          </w:p>
        </w:tc>
        <w:tc>
          <w:tcPr>
            <w:tcW w:w="0" w:type="auto"/>
            <w:hideMark/>
          </w:tcPr>
          <w:p w14:paraId="5FCD8475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 xml:space="preserve">International </w:t>
            </w:r>
            <w:proofErr w:type="spellStart"/>
            <w:r w:rsidRPr="00E41C81">
              <w:t>Accounting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Standards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Board</w:t>
            </w:r>
            <w:proofErr w:type="spellEnd"/>
            <w:r w:rsidRPr="00E41C81">
              <w:t xml:space="preserve"> (</w:t>
            </w:r>
            <w:proofErr w:type="spellStart"/>
            <w:r w:rsidRPr="00E41C81">
              <w:t>IASB</w:t>
            </w:r>
            <w:proofErr w:type="spellEnd"/>
            <w:r w:rsidRPr="00E41C81">
              <w:t xml:space="preserve">). (2003). </w:t>
            </w:r>
            <w:r w:rsidRPr="00E41C81">
              <w:rPr>
                <w:i/>
                <w:iCs/>
              </w:rPr>
              <w:t>NIC 16: Propiedades, Planta y Equipo</w:t>
            </w:r>
            <w:r w:rsidRPr="00E41C81">
              <w:t xml:space="preserve">. Fundación </w:t>
            </w:r>
            <w:proofErr w:type="spellStart"/>
            <w:r w:rsidRPr="00E41C81">
              <w:t>IFRS</w:t>
            </w:r>
            <w:proofErr w:type="spellEnd"/>
            <w:r w:rsidRPr="00E41C81">
              <w:t>.</w:t>
            </w:r>
          </w:p>
        </w:tc>
        <w:tc>
          <w:tcPr>
            <w:tcW w:w="0" w:type="auto"/>
            <w:hideMark/>
          </w:tcPr>
          <w:p w14:paraId="6A5F68C6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>Página web</w:t>
            </w:r>
          </w:p>
        </w:tc>
        <w:tc>
          <w:tcPr>
            <w:tcW w:w="0" w:type="auto"/>
            <w:hideMark/>
          </w:tcPr>
          <w:p w14:paraId="69435FD3" w14:textId="77777777" w:rsidR="00E41C81" w:rsidRPr="00E41C81" w:rsidRDefault="00E41C81" w:rsidP="00E41C81">
            <w:pPr>
              <w:spacing w:after="160" w:line="259" w:lineRule="auto"/>
            </w:pPr>
            <w:hyperlink r:id="rId18" w:tgtFrame="_new" w:history="1">
              <w:r w:rsidRPr="00E41C81">
                <w:rPr>
                  <w:rStyle w:val="Hyperlink"/>
                </w:rPr>
                <w:t>https://www.ifrs.org/issued-standards/list-of-standards/ias-16-property-plant-and-equipment/</w:t>
              </w:r>
            </w:hyperlink>
          </w:p>
        </w:tc>
      </w:tr>
      <w:tr w:rsidR="00E41C81" w:rsidRPr="00E41C81" w14:paraId="46147031" w14:textId="77777777" w:rsidTr="00E41C81">
        <w:tc>
          <w:tcPr>
            <w:tcW w:w="0" w:type="auto"/>
            <w:hideMark/>
          </w:tcPr>
          <w:p w14:paraId="5ABA03E7" w14:textId="2361FF39" w:rsidR="00E41C81" w:rsidRPr="00E41C81" w:rsidRDefault="00E41C81" w:rsidP="00E41C81">
            <w:pPr>
              <w:spacing w:after="160" w:line="259" w:lineRule="auto"/>
            </w:pPr>
            <w:r w:rsidRPr="00E41C81">
              <w:t>Política contable</w:t>
            </w:r>
          </w:p>
        </w:tc>
        <w:tc>
          <w:tcPr>
            <w:tcW w:w="0" w:type="auto"/>
            <w:hideMark/>
          </w:tcPr>
          <w:p w14:paraId="2D34A47D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 xml:space="preserve">International </w:t>
            </w:r>
            <w:proofErr w:type="spellStart"/>
            <w:r w:rsidRPr="00E41C81">
              <w:t>Accounting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Standards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Board</w:t>
            </w:r>
            <w:proofErr w:type="spellEnd"/>
            <w:r w:rsidRPr="00E41C81">
              <w:t xml:space="preserve"> (</w:t>
            </w:r>
            <w:proofErr w:type="spellStart"/>
            <w:r w:rsidRPr="00E41C81">
              <w:t>IASB</w:t>
            </w:r>
            <w:proofErr w:type="spellEnd"/>
            <w:r w:rsidRPr="00E41C81">
              <w:t xml:space="preserve">). (2003). </w:t>
            </w:r>
            <w:r w:rsidRPr="00E41C81">
              <w:rPr>
                <w:i/>
                <w:iCs/>
              </w:rPr>
              <w:t>NIC 40: Propiedades de Inversión</w:t>
            </w:r>
            <w:r w:rsidRPr="00E41C81">
              <w:t xml:space="preserve">. Fundación </w:t>
            </w:r>
            <w:proofErr w:type="spellStart"/>
            <w:r w:rsidRPr="00E41C81">
              <w:t>IFRS</w:t>
            </w:r>
            <w:proofErr w:type="spellEnd"/>
            <w:r w:rsidRPr="00E41C81">
              <w:t>.</w:t>
            </w:r>
          </w:p>
        </w:tc>
        <w:tc>
          <w:tcPr>
            <w:tcW w:w="0" w:type="auto"/>
            <w:hideMark/>
          </w:tcPr>
          <w:p w14:paraId="579714A5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>Página web</w:t>
            </w:r>
          </w:p>
        </w:tc>
        <w:tc>
          <w:tcPr>
            <w:tcW w:w="0" w:type="auto"/>
            <w:hideMark/>
          </w:tcPr>
          <w:p w14:paraId="59FFD17C" w14:textId="77777777" w:rsidR="00E41C81" w:rsidRPr="00E41C81" w:rsidRDefault="00E41C81" w:rsidP="00E41C81">
            <w:pPr>
              <w:spacing w:after="160" w:line="259" w:lineRule="auto"/>
            </w:pPr>
            <w:hyperlink r:id="rId19" w:tgtFrame="_new" w:history="1">
              <w:r w:rsidRPr="00E41C81">
                <w:rPr>
                  <w:rStyle w:val="Hyperlink"/>
                </w:rPr>
                <w:t>https://www.ifrs.org/issued-standards/list-of-standards/ias-40-investment-property/</w:t>
              </w:r>
            </w:hyperlink>
          </w:p>
        </w:tc>
      </w:tr>
      <w:tr w:rsidR="00E41C81" w:rsidRPr="00E41C81" w14:paraId="47044841" w14:textId="77777777" w:rsidTr="00E41C81">
        <w:tc>
          <w:tcPr>
            <w:tcW w:w="0" w:type="auto"/>
            <w:hideMark/>
          </w:tcPr>
          <w:p w14:paraId="7A649B02" w14:textId="7EB75143" w:rsidR="00E41C81" w:rsidRPr="00E41C81" w:rsidRDefault="00E41C81" w:rsidP="00E41C81">
            <w:pPr>
              <w:spacing w:after="160" w:line="259" w:lineRule="auto"/>
            </w:pPr>
            <w:r w:rsidRPr="00E41C81">
              <w:t>Política contable</w:t>
            </w:r>
          </w:p>
        </w:tc>
        <w:tc>
          <w:tcPr>
            <w:tcW w:w="0" w:type="auto"/>
            <w:hideMark/>
          </w:tcPr>
          <w:p w14:paraId="009BA620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 xml:space="preserve">International </w:t>
            </w:r>
            <w:proofErr w:type="spellStart"/>
            <w:r w:rsidRPr="00E41C81">
              <w:t>Accounting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Standards</w:t>
            </w:r>
            <w:proofErr w:type="spellEnd"/>
            <w:r w:rsidRPr="00E41C81">
              <w:t xml:space="preserve"> </w:t>
            </w:r>
            <w:proofErr w:type="spellStart"/>
            <w:r w:rsidRPr="00E41C81">
              <w:t>Board</w:t>
            </w:r>
            <w:proofErr w:type="spellEnd"/>
            <w:r w:rsidRPr="00E41C81">
              <w:t xml:space="preserve"> (</w:t>
            </w:r>
            <w:proofErr w:type="spellStart"/>
            <w:r w:rsidRPr="00E41C81">
              <w:t>IASB</w:t>
            </w:r>
            <w:proofErr w:type="spellEnd"/>
            <w:r w:rsidRPr="00E41C81">
              <w:t xml:space="preserve">). (2004). </w:t>
            </w:r>
            <w:r w:rsidRPr="00E41C81">
              <w:rPr>
                <w:i/>
                <w:iCs/>
              </w:rPr>
              <w:t>NIIF 5: Activos No Corrientes Mantenidos para la Venta y Operaciones Discontinuadas</w:t>
            </w:r>
            <w:r w:rsidRPr="00E41C81">
              <w:t xml:space="preserve">. Fundación </w:t>
            </w:r>
            <w:proofErr w:type="spellStart"/>
            <w:r w:rsidRPr="00E41C81">
              <w:t>IFRS</w:t>
            </w:r>
            <w:proofErr w:type="spellEnd"/>
            <w:r w:rsidRPr="00E41C81">
              <w:t>.</w:t>
            </w:r>
          </w:p>
        </w:tc>
        <w:tc>
          <w:tcPr>
            <w:tcW w:w="0" w:type="auto"/>
            <w:hideMark/>
          </w:tcPr>
          <w:p w14:paraId="6E40B99E" w14:textId="77777777" w:rsidR="00E41C81" w:rsidRPr="00E41C81" w:rsidRDefault="00E41C81" w:rsidP="00E41C81">
            <w:pPr>
              <w:spacing w:after="160" w:line="259" w:lineRule="auto"/>
            </w:pPr>
            <w:r w:rsidRPr="00E41C81">
              <w:t>Página web</w:t>
            </w:r>
          </w:p>
        </w:tc>
        <w:tc>
          <w:tcPr>
            <w:tcW w:w="0" w:type="auto"/>
            <w:hideMark/>
          </w:tcPr>
          <w:p w14:paraId="441DD1BE" w14:textId="77777777" w:rsidR="00E41C81" w:rsidRPr="00E41C81" w:rsidRDefault="00E41C81" w:rsidP="00E41C81">
            <w:pPr>
              <w:spacing w:after="160" w:line="259" w:lineRule="auto"/>
            </w:pPr>
            <w:hyperlink r:id="rId20" w:tgtFrame="_new" w:history="1">
              <w:r w:rsidRPr="00E41C81">
                <w:rPr>
                  <w:rStyle w:val="Hyperlink"/>
                </w:rPr>
                <w:t>https://www.ifrs.org/issued-standards/list-of-standards/ifrs-5-non-current-assets-held-for-sale-and-discontinued-operations/</w:t>
              </w:r>
            </w:hyperlink>
          </w:p>
        </w:tc>
      </w:tr>
    </w:tbl>
    <w:p w14:paraId="5EB6170A" w14:textId="77777777" w:rsidR="008D5022" w:rsidRPr="005A548B" w:rsidRDefault="008D5022">
      <w:pPr>
        <w:rPr>
          <w:lang w:val="es-CO"/>
        </w:rPr>
      </w:pPr>
    </w:p>
    <w:sectPr w:rsidR="008D5022" w:rsidRPr="005A548B" w:rsidSect="005A54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8B"/>
    <w:rsid w:val="00024A7B"/>
    <w:rsid w:val="000410CE"/>
    <w:rsid w:val="000F43CA"/>
    <w:rsid w:val="001C011A"/>
    <w:rsid w:val="00252AF9"/>
    <w:rsid w:val="002827A0"/>
    <w:rsid w:val="00304E41"/>
    <w:rsid w:val="00323012"/>
    <w:rsid w:val="003A0A82"/>
    <w:rsid w:val="00483F87"/>
    <w:rsid w:val="005112DC"/>
    <w:rsid w:val="0051211B"/>
    <w:rsid w:val="005319F5"/>
    <w:rsid w:val="00543F35"/>
    <w:rsid w:val="005A0816"/>
    <w:rsid w:val="005A548B"/>
    <w:rsid w:val="00602331"/>
    <w:rsid w:val="00671B4B"/>
    <w:rsid w:val="0067522A"/>
    <w:rsid w:val="006B7C30"/>
    <w:rsid w:val="006E7785"/>
    <w:rsid w:val="00754548"/>
    <w:rsid w:val="007A3F1E"/>
    <w:rsid w:val="008C50C9"/>
    <w:rsid w:val="008D5022"/>
    <w:rsid w:val="00931D77"/>
    <w:rsid w:val="00993E43"/>
    <w:rsid w:val="009D6274"/>
    <w:rsid w:val="00AB3AD7"/>
    <w:rsid w:val="00B92AB0"/>
    <w:rsid w:val="00BD28EB"/>
    <w:rsid w:val="00C409B1"/>
    <w:rsid w:val="00CE1636"/>
    <w:rsid w:val="00D27F96"/>
    <w:rsid w:val="00D66F87"/>
    <w:rsid w:val="00DB732F"/>
    <w:rsid w:val="00DF6394"/>
    <w:rsid w:val="00E07388"/>
    <w:rsid w:val="00E41C81"/>
    <w:rsid w:val="00E44231"/>
    <w:rsid w:val="00E5688E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6B10"/>
  <w15:chartTrackingRefBased/>
  <w15:docId w15:val="{110F9EF8-5084-4656-9BC2-F746AB4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35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8B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8B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8B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8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8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8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8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5A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8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8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5A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8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5A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8B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5A54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1211B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s-CO" w:eastAsia="es-CO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11B"/>
    <w:rPr>
      <w:rFonts w:ascii="Arial" w:eastAsia="Arial" w:hAnsi="Arial" w:cs="Arial"/>
      <w:kern w:val="0"/>
      <w:sz w:val="20"/>
      <w:szCs w:val="20"/>
      <w:lang w:eastAsia="es-CO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1211B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ifrs.org/issued-standards/list-of-standards/ias-16-property-plant-and-equipmen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ifrs.org/issued-standards/list-of-standards/ifrs-5-non-current-assets-held-for-sale-and-discontinued-opera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hyperlink" Target="https://www.ifrs.org/issued-standards/list-of-standards/ias-40-investment-property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B614D1-0E01-4677-95AA-15C18BF6B8A4}"/>
</file>

<file path=customXml/itemProps2.xml><?xml version="1.0" encoding="utf-8"?>
<ds:datastoreItem xmlns:ds="http://schemas.openxmlformats.org/officeDocument/2006/customXml" ds:itemID="{C215108E-1E3A-4710-88F6-0CFC99C443D4}"/>
</file>

<file path=customXml/itemProps3.xml><?xml version="1.0" encoding="utf-8"?>
<ds:datastoreItem xmlns:ds="http://schemas.openxmlformats.org/officeDocument/2006/customXml" ds:itemID="{B11045BB-8EB0-4580-9BCB-C23A6DDF42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5</cp:revision>
  <dcterms:created xsi:type="dcterms:W3CDTF">2025-03-28T15:04:00Z</dcterms:created>
  <dcterms:modified xsi:type="dcterms:W3CDTF">2025-04-04T19:45:00Z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