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38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61"/>
        <w:gridCol w:w="4120"/>
        <w:gridCol w:w="3903"/>
        <w:gridCol w:w="3903"/>
        <w:tblGridChange w:id="0">
          <w:tblGrid>
            <w:gridCol w:w="2461"/>
            <w:gridCol w:w="4120"/>
            <w:gridCol w:w="3903"/>
            <w:gridCol w:w="3903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Título componente</w:t>
            </w:r>
          </w:p>
        </w:tc>
        <w:tc>
          <w:tcPr>
            <w:gridSpan w:val="3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Video Animado o Motion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Título del vídeo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Marco normativo para atención de eventos primeros auxilios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Texto descriptivo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el siguiente video de manera general, se presenta un listado de la normatividad más importante, relacionada con la atención a primeros auxilios y su soporte jurídico: 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Escena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Imagen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Narración (voz en off)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Texto</w:t>
            </w:r>
          </w:p>
        </w:tc>
      </w:tr>
      <w:tr>
        <w:trPr>
          <w:cantSplit w:val="0"/>
          <w:trHeight w:val="207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2059347" cy="1369465"/>
                  <wp:effectExtent b="0" l="0" r="0" t="0"/>
                  <wp:docPr id="2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347" cy="13694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283.46456692913375" w:firstLine="0"/>
              <w:rPr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https://cutt.ly/vN5A0hI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este video se presentará la normatividad vigente en Colombia: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Primeros auxilios y normatividad</w:t>
            </w:r>
          </w:p>
        </w:tc>
      </w:tr>
      <w:tr>
        <w:trPr>
          <w:cantSplit w:val="0"/>
          <w:trHeight w:val="211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 2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color w:val="c00000"/>
                <w:rtl w:val="0"/>
              </w:rPr>
              <w:t xml:space="preserve">Se solicita a producción una imagen similar a la presentada por DIpor lo que se anexa enlace.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hyperlink r:id="rId8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https://listado.mercadolibre.com.co/codigo-nacional-de-transito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Ley 769 de 2002, modificada por la Ley 1383 de 2010, el Decreto 2106 de 2019. Código Nacional de Tránsito Terrestre.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Ley 769 de 2002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/>
              <w:drawing>
                <wp:inline distB="0" distT="0" distL="0" distR="0">
                  <wp:extent cx="2489200" cy="1401445"/>
                  <wp:effectExtent b="0" l="0" r="0" t="0"/>
                  <wp:docPr id="4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4014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https://cutt.ly/pN5A9GX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Que define el accidente de tránsito como un: “evento generalmente involuntario, generado al menos por un vehículo en movimiento, que causa daños a personas y bienes involucrados en él….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Evento generalmente involuntario</w:t>
            </w:r>
          </w:p>
        </w:tc>
      </w:tr>
      <w:tr>
        <w:trPr>
          <w:cantSplit w:val="0"/>
          <w:trHeight w:val="19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/>
              <w:drawing>
                <wp:inline distB="0" distT="0" distL="0" distR="0">
                  <wp:extent cx="2410809" cy="1357310"/>
                  <wp:effectExtent b="0" l="0" r="0" t="0"/>
                  <wp:docPr id="3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809" cy="13573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https://cutt.ly/2N5A36X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 igualmente afecta la normal circulación de los vehículos que se movilizan por la vía o vías comprendidas en el lugar o dentro de la zona de influencia del hecho”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Afecta la circulación vehicular</w:t>
            </w:r>
          </w:p>
        </w:tc>
      </w:tr>
      <w:tr>
        <w:trPr>
          <w:cantSplit w:val="0"/>
          <w:trHeight w:val="19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2381250" cy="793750"/>
                  <wp:effectExtent b="0" l="0" r="0" t="0"/>
                  <wp:docPr id="6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793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4">
              <w:r w:rsidDel="00000000" w:rsidR="00000000" w:rsidRPr="00000000">
                <w:rPr>
                  <w:color w:val="0000ff"/>
                  <w:sz w:val="20"/>
                  <w:szCs w:val="20"/>
                  <w:u w:val="single"/>
                  <w:rtl w:val="0"/>
                </w:rPr>
                <w:t xml:space="preserve">https://previsora.gov.co/soat/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Decreto Ley 663 de 1993. Estatuto Orgánico del Sistema Financiero -Seguro Obligatorio de Daños Corporales que se causen en Accidentes de Tránsito (SOAT)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Decreto Ley 663 de 1993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Escena</w:t>
            </w:r>
            <w:r w:rsidDel="00000000" w:rsidR="00000000" w:rsidRPr="00000000">
              <w:rPr>
                <w:rtl w:val="0"/>
              </w:rPr>
              <w:t xml:space="preserve"> 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2209329" cy="1473622"/>
                  <wp:effectExtent b="0" l="0" r="0" t="0"/>
                  <wp:docPr id="5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329" cy="147362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141.7322834645671" w:firstLine="0"/>
              <w:rPr>
                <w:sz w:val="20"/>
                <w:szCs w:val="20"/>
              </w:rPr>
            </w:pPr>
            <w:hyperlink r:id="rId1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https://cutt.ly/sN5A6FN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Decreto 3990 de 2007. Subcuenta del Seguro de Riesgos Catastróficos y Accidentes del Tránsito del Fondo de Solidaridad y Garantía, Fosyga.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Decreto 3990 de 2007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 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2115428" cy="1410991"/>
                  <wp:effectExtent b="0" l="0" r="0" t="0"/>
                  <wp:docPr id="8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428" cy="14109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283.46456692913375" w:firstLine="0"/>
              <w:rPr>
                <w:sz w:val="20"/>
                <w:szCs w:val="20"/>
              </w:rPr>
            </w:pPr>
            <w:hyperlink r:id="rId1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https://cutt.ly/YN5SeWR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Que define las coberturas, servicios, indemnizaciones… en el marco del riesgo de fallecimiento y otras lesiones…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Cobertura de servicios</w:t>
            </w:r>
          </w:p>
        </w:tc>
      </w:tr>
      <w:tr>
        <w:trPr>
          <w:cantSplit w:val="0"/>
          <w:trHeight w:val="19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Escena</w:t>
            </w:r>
            <w:r w:rsidDel="00000000" w:rsidR="00000000" w:rsidRPr="00000000">
              <w:rPr>
                <w:rtl w:val="0"/>
              </w:rPr>
              <w:t xml:space="preserve">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2455321" cy="1227661"/>
                  <wp:effectExtent b="0" l="0" r="0" t="0"/>
                  <wp:docPr id="7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5321" cy="12276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2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https://cutt.ly/4N5StrQ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Ley 1438 de 2011. Sistema General de Seguridad Social en Salud- Recursos del Seguro Obligatorio de Accidentes de Tránsito (SOAT).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Ley 1438 de 2011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 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2328402" cy="1164201"/>
                  <wp:effectExtent b="0" l="0" r="0" t="0"/>
                  <wp:docPr id="10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402" cy="116420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22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https://cutt.ly/wN5So1w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Establece directrices frente a los recursos del Seguro Obligatorio de Accidentes de Tránsito (SOAT) y las medidas de pago.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Directrices del SOAT</w:t>
            </w:r>
          </w:p>
        </w:tc>
      </w:tr>
      <w:tr>
        <w:trPr>
          <w:cantSplit w:val="0"/>
          <w:trHeight w:val="19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 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114300" distR="114300">
                  <wp:extent cx="2486025" cy="1095375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095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24">
              <w:r w:rsidDel="00000000" w:rsidR="00000000" w:rsidRPr="00000000">
                <w:rPr>
                  <w:color w:val="0000ff"/>
                  <w:sz w:val="20"/>
                  <w:szCs w:val="20"/>
                  <w:u w:val="single"/>
                  <w:rtl w:val="0"/>
                </w:rPr>
                <w:t xml:space="preserve">https://ansv.gov.co/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Ley 1702 de 2013. Por la cual se crea la Agencia Nacional de Seguridad Vial,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Ley 1702 de 2013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114300" distR="114300">
                  <wp:extent cx="2486025" cy="1038225"/>
                  <wp:effectExtent b="0" l="0" r="0" t="0"/>
                  <wp:docPr id="1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038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26">
              <w:r w:rsidDel="00000000" w:rsidR="00000000" w:rsidRPr="00000000">
                <w:rPr>
                  <w:color w:val="0000ff"/>
                  <w:sz w:val="20"/>
                  <w:szCs w:val="20"/>
                  <w:u w:val="single"/>
                  <w:rtl w:val="0"/>
                </w:rPr>
                <w:t xml:space="preserve">https://www.mintransporte.gov.co/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0">
            <w:pPr>
              <w:widowControl w:val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(ANSV) como entidad adscrita al Ministerio de Transporte, la cual actúa como la máxima autoridad para la aplicación de las políticas.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Máxima autoridad</w:t>
            </w:r>
          </w:p>
        </w:tc>
      </w:tr>
      <w:tr>
        <w:trPr>
          <w:cantSplit w:val="0"/>
          <w:trHeight w:val="19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 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/>
              <w:drawing>
                <wp:inline distB="0" distT="0" distL="0" distR="0">
                  <wp:extent cx="2489200" cy="1401445"/>
                  <wp:effectExtent b="0" l="0" r="0" t="0"/>
                  <wp:docPr id="11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4014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28">
              <w:r w:rsidDel="00000000" w:rsidR="00000000" w:rsidRPr="00000000">
                <w:rPr>
                  <w:color w:val="0000ff"/>
                  <w:sz w:val="20"/>
                  <w:szCs w:val="20"/>
                  <w:u w:val="single"/>
                  <w:rtl w:val="0"/>
                </w:rPr>
                <w:t xml:space="preserve">https://as1.ftcdn.net/v2/jpg/03/45/35/72/1000_F_345357270_uBZ8gRNW8ufl3xUt9DKQTVfB8rGMEQZz.jpg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5">
            <w:pPr>
              <w:widowControl w:val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Decreto 056 de 2015</w:t>
            </w:r>
          </w:p>
          <w:p w:rsidR="00000000" w:rsidDel="00000000" w:rsidP="00000000" w:rsidRDefault="00000000" w:rsidRPr="00000000" w14:paraId="00000056">
            <w:pPr>
              <w:widowControl w:val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Por el cual se establecen las reglas para el funcionamiento de la Subcuenta del Seguro de Riesgos Catastróficos y Accidentes de Tránsito (ECAT),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widowControl w:val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Decreto 056 de 2015</w:t>
            </w:r>
          </w:p>
          <w:p w:rsidR="00000000" w:rsidDel="00000000" w:rsidP="00000000" w:rsidRDefault="00000000" w:rsidRPr="00000000" w14:paraId="000000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Escena </w:t>
            </w: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2276553" cy="1518461"/>
                  <wp:effectExtent b="0" l="0" r="0" t="0"/>
                  <wp:docPr id="12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553" cy="15184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color w:val="000000"/>
                <w:sz w:val="20"/>
                <w:szCs w:val="20"/>
              </w:rPr>
            </w:pPr>
            <w:hyperlink r:id="rId3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https://cutt.ly/nN5SzrY</w:t>
              </w:r>
            </w:hyperlink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widowControl w:val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y las condiciones de cobertura, reconocimiento y pago de los servicios de salud, indemnizaciones y gastos derivados de accidentes de tránsito.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Procedimientos para pagos</w:t>
            </w:r>
          </w:p>
        </w:tc>
      </w:tr>
      <w:tr>
        <w:trPr>
          <w:cantSplit w:val="0"/>
          <w:trHeight w:val="19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 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2324855" cy="1550678"/>
                  <wp:effectExtent b="0" l="0" r="0" t="0"/>
                  <wp:docPr id="14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855" cy="15506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color w:val="000000"/>
                <w:sz w:val="20"/>
                <w:szCs w:val="20"/>
              </w:rPr>
            </w:pPr>
            <w:hyperlink r:id="rId32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https://cutt.ly/YN5SciV</w:t>
              </w:r>
            </w:hyperlink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2">
            <w:pPr>
              <w:widowControl w:val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Resolución 3823 de 2016, modificada por la Resolución 311 de 2020. Expedida por el Ministerio de Salud y Protección Social,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Resolución 3823 de 2016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Escena </w:t>
            </w: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1725295" cy="1152525"/>
                  <wp:effectExtent b="0" l="0" r="0" t="0"/>
                  <wp:docPr id="1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295" cy="1152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ind w:firstLine="566.9291338582675"/>
              <w:rPr>
                <w:color w:val="000000"/>
                <w:sz w:val="20"/>
                <w:szCs w:val="20"/>
              </w:rPr>
            </w:pPr>
            <w:hyperlink r:id="rId34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https://cutt.ly/nN5Svlq</w:t>
              </w:r>
            </w:hyperlink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widowControl w:val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Por la cual se establece el mecanismo para el reporte de información de la atención en salud a víctimas de accidentes de tránsito y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auditorías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Reporte de información y auditorías</w:t>
            </w:r>
          </w:p>
        </w:tc>
      </w:tr>
      <w:tr>
        <w:trPr>
          <w:cantSplit w:val="0"/>
          <w:trHeight w:val="19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 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2184737" cy="1452850"/>
                  <wp:effectExtent b="0" l="0" r="0" t="0"/>
                  <wp:docPr id="16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737" cy="1452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ind w:left="283.46456692913375" w:firstLine="0"/>
              <w:rPr>
                <w:color w:val="000000"/>
                <w:sz w:val="20"/>
                <w:szCs w:val="20"/>
              </w:rPr>
            </w:pPr>
            <w:hyperlink r:id="rId3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https://cutt.ly/wN5SnGg</w:t>
              </w:r>
            </w:hyperlink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widowControl w:val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Resolución 926 de 2017, expedida por el Ministerio de Salud y Protección Social.  Por la cual se reglamenta el desarrollo y operación del Sistema de Emergencias Médicas.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Resolución 926 de 2017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 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114300" distR="114300">
                  <wp:extent cx="2095500" cy="1409700"/>
                  <wp:effectExtent b="0" l="0" r="0" t="0"/>
                  <wp:docPr id="1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40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color w:val="000000"/>
                <w:sz w:val="20"/>
                <w:szCs w:val="20"/>
              </w:rPr>
            </w:pPr>
            <w:hyperlink r:id="rId38">
              <w:r w:rsidDel="00000000" w:rsidR="00000000" w:rsidRPr="00000000">
                <w:rPr>
                  <w:color w:val="0000ff"/>
                  <w:sz w:val="20"/>
                  <w:szCs w:val="20"/>
                  <w:u w:val="single"/>
                  <w:rtl w:val="0"/>
                </w:rPr>
                <w:t xml:space="preserve">https://ansv.gov.co/agencia/pnsv/pilares</w:t>
              </w:r>
            </w:hyperlink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widowControl w:val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La normatividad en Colombia establece que el derecho a la salud y a la vida prima sobre otros derechos, según el Plan Nacional de Seguridad Vial: la seguridad vial es vital.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Constitución Política de Colombia </w:t>
            </w:r>
          </w:p>
          <w:p w:rsidR="00000000" w:rsidDel="00000000" w:rsidP="00000000" w:rsidRDefault="00000000" w:rsidRPr="00000000" w14:paraId="000000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Plan Nacional de Seguridad Vial</w:t>
            </w:r>
          </w:p>
        </w:tc>
      </w:tr>
    </w:tbl>
    <w:p w:rsidR="00000000" w:rsidDel="00000000" w:rsidP="00000000" w:rsidRDefault="00000000" w:rsidRPr="00000000" w14:paraId="00000076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39" w:type="default"/>
      <w:footerReference r:id="rId40" w:type="default"/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67400" cy="1445489"/>
              <wp:effectExtent b="0" l="0" r="0" t="0"/>
              <wp:wrapSquare wrapText="bothSides" distB="45720" distT="45720" distL="114300" distR="114300"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FORMATO DE DISEÑO INSTRUCCIONAL 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75.00000953674316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COMPONENTES WEB PARA DIAGRAMACIÓN DE CONTENIDO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75.00000953674316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67400" cy="1445489"/>
              <wp:effectExtent b="0" l="0" r="0" t="0"/>
              <wp:wrapSquare wrapText="bothSides" distB="45720" distT="45720" distL="114300" distR="114300"/>
              <wp:docPr id="1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67400" cy="144548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-457196</wp:posOffset>
          </wp:positionH>
          <wp:positionV relativeFrom="paragraph">
            <wp:posOffset>-457194</wp:posOffset>
          </wp:positionV>
          <wp:extent cx="10128885" cy="1390650"/>
          <wp:effectExtent b="0" l="0" r="0" t="0"/>
          <wp:wrapSquare wrapText="bothSides" distB="0" distT="0" distL="114300" distR="114300"/>
          <wp:docPr id="1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34234" l="0" r="0" t="0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MX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hyperlink" Target="https://cutt.ly/4N5StrQ" TargetMode="External"/><Relationship Id="rId22" Type="http://schemas.openxmlformats.org/officeDocument/2006/relationships/hyperlink" Target="https://cutt.ly/wN5So1w" TargetMode="External"/><Relationship Id="rId21" Type="http://schemas.openxmlformats.org/officeDocument/2006/relationships/image" Target="media/image8.jpg"/><Relationship Id="rId24" Type="http://schemas.openxmlformats.org/officeDocument/2006/relationships/hyperlink" Target="https://ansv.gov.co/" TargetMode="External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26" Type="http://schemas.openxmlformats.org/officeDocument/2006/relationships/hyperlink" Target="https://www.mintransporte.gov.co/" TargetMode="External"/><Relationship Id="rId25" Type="http://schemas.openxmlformats.org/officeDocument/2006/relationships/image" Target="media/image15.png"/><Relationship Id="rId28" Type="http://schemas.openxmlformats.org/officeDocument/2006/relationships/hyperlink" Target="https://as1.ftcdn.net/v2/jpg/03/45/35/72/1000_F_345357270_uBZ8gRNW8ufl3xUt9DKQTVfB8rGMEQZz.jpg" TargetMode="External"/><Relationship Id="rId27" Type="http://schemas.openxmlformats.org/officeDocument/2006/relationships/image" Target="media/image14.jpg"/><Relationship Id="rId5" Type="http://schemas.openxmlformats.org/officeDocument/2006/relationships/styles" Target="styles.xml"/><Relationship Id="rId6" Type="http://schemas.openxmlformats.org/officeDocument/2006/relationships/image" Target="media/image12.jpg"/><Relationship Id="rId29" Type="http://schemas.openxmlformats.org/officeDocument/2006/relationships/image" Target="media/image3.jpg"/><Relationship Id="rId7" Type="http://schemas.openxmlformats.org/officeDocument/2006/relationships/hyperlink" Target="https://cutt.ly/vN5A0hI" TargetMode="External"/><Relationship Id="rId8" Type="http://schemas.openxmlformats.org/officeDocument/2006/relationships/hyperlink" Target="https://listado.mercadolibre.com.co/codigo-nacional-de-transito" TargetMode="External"/><Relationship Id="rId31" Type="http://schemas.openxmlformats.org/officeDocument/2006/relationships/image" Target="media/image16.jpg"/><Relationship Id="rId30" Type="http://schemas.openxmlformats.org/officeDocument/2006/relationships/hyperlink" Target="https://cutt.ly/nN5SzrY" TargetMode="External"/><Relationship Id="rId11" Type="http://schemas.openxmlformats.org/officeDocument/2006/relationships/image" Target="media/image4.jpg"/><Relationship Id="rId33" Type="http://schemas.openxmlformats.org/officeDocument/2006/relationships/image" Target="media/image13.png"/><Relationship Id="rId10" Type="http://schemas.openxmlformats.org/officeDocument/2006/relationships/hyperlink" Target="https://cutt.ly/pN5A9GX" TargetMode="External"/><Relationship Id="rId32" Type="http://schemas.openxmlformats.org/officeDocument/2006/relationships/hyperlink" Target="https://cutt.ly/YN5SciV" TargetMode="External"/><Relationship Id="rId13" Type="http://schemas.openxmlformats.org/officeDocument/2006/relationships/image" Target="media/image11.jpg"/><Relationship Id="rId35" Type="http://schemas.openxmlformats.org/officeDocument/2006/relationships/image" Target="media/image5.jpg"/><Relationship Id="rId12" Type="http://schemas.openxmlformats.org/officeDocument/2006/relationships/hyperlink" Target="https://cutt.ly/2N5A36X" TargetMode="External"/><Relationship Id="rId34" Type="http://schemas.openxmlformats.org/officeDocument/2006/relationships/hyperlink" Target="https://cutt.ly/nN5Svlq" TargetMode="External"/><Relationship Id="rId15" Type="http://schemas.openxmlformats.org/officeDocument/2006/relationships/image" Target="media/image17.jpg"/><Relationship Id="rId37" Type="http://schemas.openxmlformats.org/officeDocument/2006/relationships/image" Target="media/image9.png"/><Relationship Id="rId14" Type="http://schemas.openxmlformats.org/officeDocument/2006/relationships/hyperlink" Target="https://previsora.gov.co/soat/" TargetMode="External"/><Relationship Id="rId36" Type="http://schemas.openxmlformats.org/officeDocument/2006/relationships/hyperlink" Target="https://cutt.ly/wN5SnGg" TargetMode="External"/><Relationship Id="rId17" Type="http://schemas.openxmlformats.org/officeDocument/2006/relationships/image" Target="media/image10.jpg"/><Relationship Id="rId39" Type="http://schemas.openxmlformats.org/officeDocument/2006/relationships/header" Target="header1.xml"/><Relationship Id="rId16" Type="http://schemas.openxmlformats.org/officeDocument/2006/relationships/hyperlink" Target="https://cutt.ly/sN5A6FN" TargetMode="External"/><Relationship Id="rId38" Type="http://schemas.openxmlformats.org/officeDocument/2006/relationships/hyperlink" Target="https://ansv.gov.co/agencia/pnsv/pilares" TargetMode="External"/><Relationship Id="rId19" Type="http://schemas.openxmlformats.org/officeDocument/2006/relationships/image" Target="media/image6.jpg"/><Relationship Id="rId18" Type="http://schemas.openxmlformats.org/officeDocument/2006/relationships/hyperlink" Target="https://cutt.ly/YN5SeWR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