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Conceptos básicos del </w:t>
            </w:r>
            <w:r w:rsidDel="00000000" w:rsidR="00000000" w:rsidRPr="00000000">
              <w:rPr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de contenidos 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Evaluar a través de la comprensión lectora el dominio de los conceptos básicos del </w:t>
            </w:r>
            <w:r w:rsidDel="00000000" w:rsidR="00000000" w:rsidRPr="00000000">
              <w:rPr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de contenidos para evidenciar el entendimiento de los conceptos y la aplicabilidad de los mismos dentro de una campaña o estrategia virtual sujeta a medición de impacto.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Verdadero/Falso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Formato de preguntas y respuestas en la carpeta de anexos</w:t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Indicaciones 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continuación encontrará una serie de afirmaciones, usted debe decidir marcando con una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si lo que se afirma es verdadero o falso. 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Afirmaciones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KPI son métricas que permiten medir el desempeño de las acciones implementadas en un proyecto o estrategia.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8"/>
        <w:rPr/>
      </w:pPr>
      <w:r w:rsidDel="00000000" w:rsidR="00000000" w:rsidRPr="00000000">
        <w:rPr>
          <w:rtl w:val="0"/>
        </w:rPr>
        <w:t xml:space="preserve">Falso____; Verdadero____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función principal 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 medir los resultados de los tipos de medios, pagados, ganados y propios.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8"/>
        <w:rPr/>
      </w:pPr>
      <w:r w:rsidDel="00000000" w:rsidR="00000000" w:rsidRPr="00000000">
        <w:rPr>
          <w:rtl w:val="0"/>
        </w:rPr>
        <w:t xml:space="preserve">Falso____; Verdadero____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Podemos afirmar que la interacción ocurre cuando el usuario a través de los diferentes canales digitales hace contacto y se obtiene información acerca de él.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348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Falso____; Verdadero____</w:t>
      </w:r>
    </w:p>
    <w:p w:rsidR="00000000" w:rsidDel="00000000" w:rsidP="00000000" w:rsidRDefault="00000000" w:rsidRPr="00000000" w14:paraId="00000020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reacción es aquella forma de expresión gráfica que permite al internauta manifestarse a través de las redes sociales o aplicaciones de una manera corta como respuesta emocional a una publicación utilizando un dispositivo electrónico mediante el uso de internet.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Falso____; Verdadero____</w:t>
      </w:r>
    </w:p>
    <w:p w:rsidR="00000000" w:rsidDel="00000000" w:rsidP="00000000" w:rsidRDefault="00000000" w:rsidRPr="00000000" w14:paraId="00000025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Blog es un sitio web que permite la constante interacción con el público de una comunidad basado en la continua publicación de información que resaltan algunos temas de interés específico.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34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Falso____; Verdadero____</w:t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casual se caracteriza por ser un seguidor de la marca sin ser cliente.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34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Falso____; Verdadero____</w:t>
      </w:r>
    </w:p>
    <w:p w:rsidR="00000000" w:rsidDel="00000000" w:rsidP="00000000" w:rsidRDefault="00000000" w:rsidRPr="00000000" w14:paraId="0000002E">
      <w:pPr>
        <w:ind w:left="360" w:firstLine="34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REI permite establecer 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cuántos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nuevos usuarios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llegó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 publicación y hacer el análisis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respectivo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comparando con los clics totales.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360" w:firstLine="34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Falso____; Verdadero____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Fin de la prueba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Justificación de las respuestas 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(V.) Los KPI son indicadores de desempeño.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(F).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tiene como función principal generar compromiso o conexión con los usuarios mediante el contenido que se presenta de nuestros productos o servicios en los diferentes medios digitales.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(V).  La interacción online se puede definir como aquella que se origina por la influencia del contenido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magnet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en el ciberespacio que tiene como propósito resolver un problema específico a un público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específico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cambio de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opt-in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Por ejemplo, datos de contacto, e-mail, etc.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(V). La utilización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conos o emojis se han convertido en un centro de validación de información muy útil a la hora de conocer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piensa el consumidor sobre determinado producto o servicio.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(V). Los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 los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son uno de los canales digitales con mayor grado de participación de usuarios con comentarios teniendo en cuenta que su propósito es lograr la mayor interacción posible a través de la publicación constante de temas de interés para un público en particular.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(F).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casual se caracteriza por ser un seguidor de varias marcas y comparte su experiencia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(F). El REI es excedente o faltante de restar las ganancias con la inversión y posterior a ello se realiza el cálculo para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porcentualmente si la utilidad es positiva o negativa.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63C5"/>
    <w:pPr>
      <w:ind w:left="720"/>
      <w:contextualSpacing w:val="1"/>
    </w:pPr>
  </w:style>
  <w:style w:type="table" w:styleId="5" w:customStyle="1">
    <w:name w:val="5"/>
    <w:basedOn w:val="Tablanormal"/>
    <w:rsid w:val="004027FA"/>
    <w:rPr>
      <w:rFonts w:ascii="Arial" w:cs="Arial" w:eastAsia="Arial" w:hAnsi="Arial"/>
      <w:b w:val="1"/>
      <w:sz w:val="24"/>
      <w:szCs w:val="24"/>
      <w:lang w:eastAsia="es-CO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v4SOaSaL1KmyIhD+iIWLK5DnzA==">AMUW2mVWgJ85S7xozpArQhyZjLs7WfnkbHoi80e/ejdinWxKOB2gSIqnA1ur83OHQ+evNX/QkNYrRhOPVb9Te01F8CSy0i1A5wTZcmxJiA8H3x49a1rZ4Kb3Pe0AEUiqeNGCeyoZGnao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2022-04-12T01:18:00Z</dcterms:created>
  <dc:creator>GUSTAVO NAVARRO MACIAS</dc:creator>
</cp:coreProperties>
</file>