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CB252E" w:rsidRDefault="00000000">
      <w:pPr>
        <w:spacing w:before="240"/>
        <w:jc w:val="center"/>
        <w:rPr>
          <w:b/>
          <w:sz w:val="20"/>
          <w:szCs w:val="20"/>
        </w:rPr>
      </w:pPr>
      <w:r>
        <w:rPr>
          <w:b/>
          <w:sz w:val="20"/>
          <w:szCs w:val="20"/>
        </w:rPr>
        <w:t>FORMATO PARA EL DESARROLLO DE COMPONENTE FORMATIVO</w:t>
      </w:r>
    </w:p>
    <w:p w14:paraId="00000002" w14:textId="77777777" w:rsidR="00CB252E" w:rsidRDefault="00CB252E">
      <w:pPr>
        <w:tabs>
          <w:tab w:val="left" w:pos="3224"/>
        </w:tabs>
        <w:spacing w:before="240"/>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B252E" w14:paraId="146A67E1" w14:textId="77777777">
        <w:trPr>
          <w:trHeight w:val="122"/>
        </w:trPr>
        <w:tc>
          <w:tcPr>
            <w:tcW w:w="3397" w:type="dxa"/>
            <w:vAlign w:val="center"/>
          </w:tcPr>
          <w:p w14:paraId="00000003" w14:textId="77777777" w:rsidR="00CB252E" w:rsidRDefault="00000000">
            <w:pPr>
              <w:spacing w:line="276" w:lineRule="auto"/>
              <w:rPr>
                <w:sz w:val="20"/>
                <w:szCs w:val="20"/>
              </w:rPr>
            </w:pPr>
            <w:r>
              <w:rPr>
                <w:color w:val="000000"/>
                <w:sz w:val="20"/>
                <w:szCs w:val="20"/>
              </w:rPr>
              <w:t>PROGRAMA DE FORMACIÓN</w:t>
            </w:r>
          </w:p>
        </w:tc>
        <w:tc>
          <w:tcPr>
            <w:tcW w:w="6565" w:type="dxa"/>
            <w:vAlign w:val="center"/>
          </w:tcPr>
          <w:p w14:paraId="00000004" w14:textId="77777777" w:rsidR="00CB252E" w:rsidRDefault="00000000">
            <w:pPr>
              <w:spacing w:line="276" w:lineRule="auto"/>
            </w:pPr>
            <w:r>
              <w:rPr>
                <w:color w:val="000000"/>
                <w:sz w:val="20"/>
                <w:szCs w:val="20"/>
              </w:rPr>
              <w:t>Tecnología Gestión Contable y de Información Financiera</w:t>
            </w:r>
          </w:p>
        </w:tc>
      </w:tr>
    </w:tbl>
    <w:p w14:paraId="00000005" w14:textId="77777777" w:rsidR="00CB252E" w:rsidRDefault="00CB252E">
      <w:pPr>
        <w:spacing w:before="240"/>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CB252E" w14:paraId="511FE0DA" w14:textId="77777777">
        <w:trPr>
          <w:trHeight w:val="340"/>
        </w:trPr>
        <w:tc>
          <w:tcPr>
            <w:tcW w:w="1838" w:type="dxa"/>
            <w:vAlign w:val="center"/>
          </w:tcPr>
          <w:p w14:paraId="00000006" w14:textId="77777777" w:rsidR="00CB252E" w:rsidRDefault="00000000">
            <w:pPr>
              <w:spacing w:line="276" w:lineRule="auto"/>
              <w:rPr>
                <w:color w:val="000000"/>
                <w:sz w:val="20"/>
                <w:szCs w:val="20"/>
              </w:rPr>
            </w:pPr>
            <w:r>
              <w:rPr>
                <w:color w:val="000000"/>
                <w:sz w:val="20"/>
                <w:szCs w:val="20"/>
              </w:rPr>
              <w:t>COMPETENCIA</w:t>
            </w:r>
          </w:p>
        </w:tc>
        <w:tc>
          <w:tcPr>
            <w:tcW w:w="2835" w:type="dxa"/>
            <w:vAlign w:val="center"/>
          </w:tcPr>
          <w:p w14:paraId="00000007" w14:textId="77777777" w:rsidR="00CB252E" w:rsidRDefault="00000000">
            <w:pPr>
              <w:spacing w:line="276" w:lineRule="auto"/>
              <w:jc w:val="both"/>
              <w:rPr>
                <w:b w:val="0"/>
                <w:color w:val="000000"/>
                <w:sz w:val="20"/>
                <w:szCs w:val="20"/>
              </w:rPr>
            </w:pPr>
            <w:r>
              <w:rPr>
                <w:b w:val="0"/>
                <w:color w:val="000000"/>
                <w:sz w:val="20"/>
                <w:szCs w:val="20"/>
              </w:rPr>
              <w:t>210303022- Reconocer recursos financieros de acuerdo con metodología y normativa.</w:t>
            </w:r>
          </w:p>
        </w:tc>
        <w:tc>
          <w:tcPr>
            <w:tcW w:w="2126" w:type="dxa"/>
            <w:vAlign w:val="center"/>
          </w:tcPr>
          <w:p w14:paraId="00000008" w14:textId="77777777" w:rsidR="00CB252E" w:rsidRDefault="00000000">
            <w:pPr>
              <w:spacing w:line="276" w:lineRule="auto"/>
              <w:rPr>
                <w:color w:val="000000"/>
                <w:sz w:val="20"/>
                <w:szCs w:val="20"/>
              </w:rPr>
            </w:pPr>
            <w:r>
              <w:rPr>
                <w:color w:val="000000"/>
                <w:sz w:val="20"/>
                <w:szCs w:val="20"/>
              </w:rPr>
              <w:t>RESULTADOS DE APRENDIZAJE</w:t>
            </w:r>
          </w:p>
        </w:tc>
        <w:tc>
          <w:tcPr>
            <w:tcW w:w="3163" w:type="dxa"/>
            <w:vAlign w:val="center"/>
          </w:tcPr>
          <w:p w14:paraId="00000009" w14:textId="77777777" w:rsidR="00CB252E" w:rsidRDefault="00000000">
            <w:pPr>
              <w:spacing w:line="276" w:lineRule="auto"/>
              <w:ind w:left="66"/>
              <w:jc w:val="both"/>
              <w:rPr>
                <w:b w:val="0"/>
                <w:color w:val="000000"/>
                <w:sz w:val="20"/>
                <w:szCs w:val="20"/>
              </w:rPr>
            </w:pPr>
            <w:r>
              <w:rPr>
                <w:b w:val="0"/>
                <w:color w:val="000000"/>
                <w:sz w:val="20"/>
                <w:szCs w:val="20"/>
              </w:rPr>
              <w:t>210303022-05. Reconocer hechos económicos, de acuerdo con políticas contables y normativa.</w:t>
            </w:r>
          </w:p>
        </w:tc>
      </w:tr>
    </w:tbl>
    <w:p w14:paraId="0000000A" w14:textId="77777777" w:rsidR="00CB252E" w:rsidRDefault="00CB252E">
      <w:pPr>
        <w:tabs>
          <w:tab w:val="left" w:pos="6240"/>
        </w:tabs>
        <w:spacing w:before="240"/>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B252E" w14:paraId="4F01FB4A" w14:textId="77777777">
        <w:trPr>
          <w:trHeight w:val="479"/>
        </w:trPr>
        <w:tc>
          <w:tcPr>
            <w:tcW w:w="3397" w:type="dxa"/>
            <w:vAlign w:val="center"/>
          </w:tcPr>
          <w:p w14:paraId="0000000B" w14:textId="77777777" w:rsidR="00CB252E" w:rsidRDefault="00000000">
            <w:pPr>
              <w:spacing w:line="276" w:lineRule="auto"/>
              <w:ind w:left="66"/>
              <w:jc w:val="both"/>
              <w:rPr>
                <w:color w:val="000000"/>
                <w:sz w:val="20"/>
                <w:szCs w:val="20"/>
              </w:rPr>
            </w:pPr>
            <w:r>
              <w:rPr>
                <w:color w:val="000000"/>
                <w:sz w:val="20"/>
                <w:szCs w:val="20"/>
              </w:rPr>
              <w:t>NÚMERO DEL COMPONENTE FORMATIVO</w:t>
            </w:r>
          </w:p>
        </w:tc>
        <w:tc>
          <w:tcPr>
            <w:tcW w:w="6565" w:type="dxa"/>
            <w:vAlign w:val="center"/>
          </w:tcPr>
          <w:p w14:paraId="0000000C" w14:textId="77777777" w:rsidR="00CB252E" w:rsidRDefault="00000000">
            <w:pPr>
              <w:spacing w:line="276" w:lineRule="auto"/>
              <w:ind w:left="66"/>
              <w:jc w:val="both"/>
              <w:rPr>
                <w:color w:val="000000"/>
                <w:sz w:val="20"/>
                <w:szCs w:val="20"/>
              </w:rPr>
            </w:pPr>
            <w:r>
              <w:rPr>
                <w:color w:val="000000"/>
                <w:sz w:val="20"/>
                <w:szCs w:val="20"/>
              </w:rPr>
              <w:t>09</w:t>
            </w:r>
          </w:p>
        </w:tc>
      </w:tr>
      <w:tr w:rsidR="00CB252E" w14:paraId="1A121589" w14:textId="77777777">
        <w:trPr>
          <w:trHeight w:val="340"/>
        </w:trPr>
        <w:tc>
          <w:tcPr>
            <w:tcW w:w="3397" w:type="dxa"/>
            <w:vAlign w:val="center"/>
          </w:tcPr>
          <w:p w14:paraId="0000000D" w14:textId="77777777" w:rsidR="00CB252E" w:rsidRDefault="00000000">
            <w:pPr>
              <w:spacing w:line="276" w:lineRule="auto"/>
              <w:ind w:left="66"/>
              <w:jc w:val="both"/>
              <w:rPr>
                <w:color w:val="000000"/>
                <w:sz w:val="20"/>
                <w:szCs w:val="20"/>
              </w:rPr>
            </w:pPr>
            <w:r>
              <w:rPr>
                <w:color w:val="000000"/>
                <w:sz w:val="20"/>
                <w:szCs w:val="20"/>
              </w:rPr>
              <w:t>NOMBRE DEL COMPONENTE FORMATIVO</w:t>
            </w:r>
          </w:p>
        </w:tc>
        <w:tc>
          <w:tcPr>
            <w:tcW w:w="6565" w:type="dxa"/>
            <w:vAlign w:val="center"/>
          </w:tcPr>
          <w:p w14:paraId="0000000E" w14:textId="77777777" w:rsidR="00CB252E" w:rsidRDefault="00000000">
            <w:pPr>
              <w:spacing w:line="276" w:lineRule="auto"/>
              <w:ind w:left="66" w:hanging="2"/>
              <w:jc w:val="both"/>
              <w:rPr>
                <w:b w:val="0"/>
                <w:color w:val="000000"/>
                <w:sz w:val="20"/>
                <w:szCs w:val="20"/>
              </w:rPr>
            </w:pPr>
            <w:r>
              <w:rPr>
                <w:b w:val="0"/>
                <w:color w:val="000000"/>
                <w:sz w:val="20"/>
                <w:szCs w:val="20"/>
              </w:rPr>
              <w:t>Activos Intangibles</w:t>
            </w:r>
          </w:p>
        </w:tc>
      </w:tr>
      <w:tr w:rsidR="00CB252E" w14:paraId="5A11398C" w14:textId="77777777">
        <w:trPr>
          <w:trHeight w:val="2857"/>
        </w:trPr>
        <w:tc>
          <w:tcPr>
            <w:tcW w:w="3397" w:type="dxa"/>
            <w:vAlign w:val="center"/>
          </w:tcPr>
          <w:p w14:paraId="0000000F" w14:textId="77777777" w:rsidR="00CB252E" w:rsidRDefault="00000000">
            <w:pPr>
              <w:spacing w:line="276" w:lineRule="auto"/>
              <w:ind w:left="66"/>
              <w:jc w:val="both"/>
              <w:rPr>
                <w:color w:val="000000"/>
                <w:sz w:val="20"/>
                <w:szCs w:val="20"/>
              </w:rPr>
            </w:pPr>
            <w:r>
              <w:rPr>
                <w:color w:val="000000"/>
                <w:sz w:val="20"/>
                <w:szCs w:val="20"/>
              </w:rPr>
              <w:t>BREVE DESCRIPCIÓN</w:t>
            </w:r>
          </w:p>
        </w:tc>
        <w:tc>
          <w:tcPr>
            <w:tcW w:w="6565" w:type="dxa"/>
            <w:vAlign w:val="center"/>
          </w:tcPr>
          <w:p w14:paraId="00000010" w14:textId="77777777" w:rsidR="00CB252E" w:rsidRDefault="00000000">
            <w:pPr>
              <w:spacing w:line="276" w:lineRule="auto"/>
              <w:ind w:left="66" w:hanging="2"/>
              <w:jc w:val="both"/>
              <w:rPr>
                <w:b w:val="0"/>
                <w:color w:val="000000"/>
                <w:sz w:val="20"/>
                <w:szCs w:val="20"/>
              </w:rPr>
            </w:pPr>
            <w:sdt>
              <w:sdtPr>
                <w:tag w:val="goog_rdk_0"/>
                <w:id w:val="-2052996046"/>
              </w:sdtPr>
              <w:sdtContent>
                <w:commentRangeStart w:id="0"/>
              </w:sdtContent>
            </w:sdt>
            <w:r>
              <w:rPr>
                <w:b w:val="0"/>
                <w:color w:val="000000"/>
                <w:sz w:val="20"/>
                <w:szCs w:val="20"/>
              </w:rPr>
              <w:t>Hallar valor en un panorama empresarial tan cambiante donde tradicionalmente los recursos de la empresa eran cosas que se podían palpar como un edificio, una máquina, un vehículo, un terreno sobre lo que las empresas centran su atención; pero con el paso del tiempo, los procesos, las relaciones y los modelos comerciales han evolucionado; y es así como, las empresas invierten cada vez más en activos intangibles no solamente en una computadora, un software, sino también en la investigación, innovación, la marca, el diseño organizacional, el conocimiento, las relaciones, entre otros. Por lo anterior, en el presente componente se analiza el tratamiento contable de los activos intangibles y diferidos, de acuerdo con los criterios establecidos en las Normas Internacionales de Información Financiera.</w:t>
            </w:r>
            <w:commentRangeEnd w:id="0"/>
            <w:r>
              <w:commentReference w:id="0"/>
            </w:r>
          </w:p>
        </w:tc>
      </w:tr>
      <w:tr w:rsidR="00CB252E" w14:paraId="61D9A3FF" w14:textId="77777777">
        <w:trPr>
          <w:trHeight w:val="340"/>
        </w:trPr>
        <w:tc>
          <w:tcPr>
            <w:tcW w:w="3397" w:type="dxa"/>
            <w:vAlign w:val="center"/>
          </w:tcPr>
          <w:p w14:paraId="00000011" w14:textId="77777777" w:rsidR="00CB252E" w:rsidRDefault="00000000">
            <w:pPr>
              <w:spacing w:line="276" w:lineRule="auto"/>
              <w:ind w:left="66"/>
              <w:jc w:val="both"/>
              <w:rPr>
                <w:color w:val="000000"/>
                <w:sz w:val="20"/>
                <w:szCs w:val="20"/>
              </w:rPr>
            </w:pPr>
            <w:r>
              <w:rPr>
                <w:color w:val="000000"/>
                <w:sz w:val="20"/>
                <w:szCs w:val="20"/>
              </w:rPr>
              <w:t>PALABRAS CLAVE</w:t>
            </w:r>
          </w:p>
        </w:tc>
        <w:tc>
          <w:tcPr>
            <w:tcW w:w="6565" w:type="dxa"/>
            <w:vAlign w:val="center"/>
          </w:tcPr>
          <w:p w14:paraId="00000012" w14:textId="77777777" w:rsidR="00CB252E" w:rsidRDefault="00000000">
            <w:pPr>
              <w:spacing w:line="276" w:lineRule="auto"/>
              <w:ind w:left="66"/>
              <w:jc w:val="both"/>
              <w:rPr>
                <w:b w:val="0"/>
                <w:color w:val="000000"/>
                <w:sz w:val="20"/>
                <w:szCs w:val="20"/>
              </w:rPr>
            </w:pPr>
            <w:r>
              <w:rPr>
                <w:b w:val="0"/>
                <w:color w:val="000000"/>
                <w:sz w:val="20"/>
                <w:szCs w:val="20"/>
              </w:rPr>
              <w:t>Activos intangibles, reconocimiento, medición, valoración, revelación, NIIF, NIC 38, amortización.</w:t>
            </w:r>
          </w:p>
        </w:tc>
      </w:tr>
    </w:tbl>
    <w:p w14:paraId="00000013" w14:textId="77777777" w:rsidR="00CB252E" w:rsidRDefault="00CB252E">
      <w:pPr>
        <w:spacing w:before="240"/>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B252E" w14:paraId="75755C4E" w14:textId="77777777">
        <w:trPr>
          <w:trHeight w:val="218"/>
        </w:trPr>
        <w:tc>
          <w:tcPr>
            <w:tcW w:w="3397" w:type="dxa"/>
            <w:vAlign w:val="center"/>
          </w:tcPr>
          <w:p w14:paraId="00000014" w14:textId="77777777" w:rsidR="00CB252E" w:rsidRDefault="00000000">
            <w:pPr>
              <w:spacing w:line="276" w:lineRule="auto"/>
              <w:ind w:left="66"/>
              <w:jc w:val="both"/>
              <w:rPr>
                <w:color w:val="000000"/>
                <w:sz w:val="20"/>
                <w:szCs w:val="20"/>
              </w:rPr>
            </w:pPr>
            <w:r>
              <w:rPr>
                <w:color w:val="000000"/>
                <w:sz w:val="20"/>
                <w:szCs w:val="20"/>
              </w:rPr>
              <w:t>ÁREA OCUPACIONAL</w:t>
            </w:r>
          </w:p>
        </w:tc>
        <w:tc>
          <w:tcPr>
            <w:tcW w:w="6565" w:type="dxa"/>
            <w:vAlign w:val="center"/>
          </w:tcPr>
          <w:p w14:paraId="00000015" w14:textId="77777777" w:rsidR="00CB252E" w:rsidRDefault="00000000">
            <w:pPr>
              <w:ind w:left="66"/>
              <w:jc w:val="both"/>
              <w:rPr>
                <w:b w:val="0"/>
                <w:color w:val="000000"/>
                <w:sz w:val="20"/>
                <w:szCs w:val="20"/>
              </w:rPr>
            </w:pPr>
            <w:r>
              <w:rPr>
                <w:b w:val="0"/>
                <w:color w:val="000000"/>
                <w:sz w:val="20"/>
                <w:szCs w:val="20"/>
              </w:rPr>
              <w:t>Finanzas y Administración</w:t>
            </w:r>
          </w:p>
          <w:p w14:paraId="00000016" w14:textId="77777777" w:rsidR="00CB252E" w:rsidRDefault="00CB252E">
            <w:pPr>
              <w:spacing w:line="276" w:lineRule="auto"/>
              <w:ind w:left="66"/>
              <w:jc w:val="both"/>
              <w:rPr>
                <w:b w:val="0"/>
                <w:color w:val="000000"/>
                <w:sz w:val="20"/>
                <w:szCs w:val="20"/>
              </w:rPr>
            </w:pPr>
          </w:p>
        </w:tc>
      </w:tr>
      <w:tr w:rsidR="00CB252E" w14:paraId="3263010A" w14:textId="77777777">
        <w:trPr>
          <w:trHeight w:val="465"/>
        </w:trPr>
        <w:tc>
          <w:tcPr>
            <w:tcW w:w="3397" w:type="dxa"/>
            <w:vAlign w:val="center"/>
          </w:tcPr>
          <w:p w14:paraId="00000017" w14:textId="77777777" w:rsidR="00CB252E" w:rsidRDefault="00000000">
            <w:pPr>
              <w:spacing w:line="276" w:lineRule="auto"/>
              <w:ind w:left="66"/>
              <w:jc w:val="both"/>
              <w:rPr>
                <w:color w:val="000000"/>
                <w:sz w:val="20"/>
                <w:szCs w:val="20"/>
              </w:rPr>
            </w:pPr>
            <w:r>
              <w:rPr>
                <w:color w:val="000000"/>
                <w:sz w:val="20"/>
                <w:szCs w:val="20"/>
              </w:rPr>
              <w:t>IDIOMA</w:t>
            </w:r>
          </w:p>
        </w:tc>
        <w:tc>
          <w:tcPr>
            <w:tcW w:w="6565" w:type="dxa"/>
            <w:vAlign w:val="center"/>
          </w:tcPr>
          <w:p w14:paraId="00000018" w14:textId="77777777" w:rsidR="00CB252E" w:rsidRDefault="00000000">
            <w:pPr>
              <w:spacing w:line="276" w:lineRule="auto"/>
              <w:ind w:left="66"/>
              <w:jc w:val="both"/>
              <w:rPr>
                <w:b w:val="0"/>
                <w:color w:val="000000"/>
                <w:sz w:val="20"/>
                <w:szCs w:val="20"/>
              </w:rPr>
            </w:pPr>
            <w:r>
              <w:rPr>
                <w:b w:val="0"/>
                <w:color w:val="000000"/>
                <w:sz w:val="20"/>
                <w:szCs w:val="20"/>
              </w:rPr>
              <w:t>Español</w:t>
            </w:r>
          </w:p>
        </w:tc>
      </w:tr>
    </w:tbl>
    <w:p w14:paraId="00000019" w14:textId="77777777" w:rsidR="00CB252E" w:rsidRDefault="00CB252E">
      <w:pPr>
        <w:spacing w:before="240"/>
        <w:rPr>
          <w:sz w:val="20"/>
          <w:szCs w:val="20"/>
        </w:rPr>
      </w:pPr>
    </w:p>
    <w:p w14:paraId="0000001A" w14:textId="77777777" w:rsidR="00CB252E" w:rsidRDefault="00000000">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TABLA DE CONTENIDOS: </w:t>
      </w:r>
    </w:p>
    <w:p w14:paraId="0000001B" w14:textId="77777777" w:rsidR="00CB252E" w:rsidRDefault="00000000">
      <w:pPr>
        <w:spacing w:before="240"/>
        <w:rPr>
          <w:b/>
          <w:sz w:val="20"/>
          <w:szCs w:val="20"/>
        </w:rPr>
      </w:pPr>
      <w:r>
        <w:rPr>
          <w:b/>
          <w:sz w:val="20"/>
          <w:szCs w:val="20"/>
        </w:rPr>
        <w:t>Introducción</w:t>
      </w:r>
    </w:p>
    <w:p w14:paraId="0000001C" w14:textId="77777777" w:rsidR="00CB252E" w:rsidRDefault="00000000">
      <w:pPr>
        <w:numPr>
          <w:ilvl w:val="0"/>
          <w:numId w:val="3"/>
        </w:numPr>
        <w:pBdr>
          <w:top w:val="nil"/>
          <w:left w:val="nil"/>
          <w:bottom w:val="nil"/>
          <w:right w:val="nil"/>
          <w:between w:val="nil"/>
        </w:pBdr>
        <w:spacing w:before="240"/>
        <w:rPr>
          <w:b/>
          <w:color w:val="000000"/>
          <w:sz w:val="20"/>
          <w:szCs w:val="20"/>
        </w:rPr>
      </w:pPr>
      <w:r>
        <w:rPr>
          <w:b/>
          <w:color w:val="000000"/>
          <w:sz w:val="20"/>
          <w:szCs w:val="20"/>
        </w:rPr>
        <w:t>Intangibles y Diferidos</w:t>
      </w:r>
    </w:p>
    <w:p w14:paraId="0000001D" w14:textId="77777777" w:rsidR="00CB252E" w:rsidRDefault="00000000">
      <w:pPr>
        <w:ind w:left="360" w:firstLine="718"/>
        <w:rPr>
          <w:sz w:val="20"/>
          <w:szCs w:val="20"/>
          <w:highlight w:val="white"/>
        </w:rPr>
      </w:pPr>
      <w:r>
        <w:rPr>
          <w:sz w:val="20"/>
          <w:szCs w:val="20"/>
        </w:rPr>
        <w:t>1</w:t>
      </w:r>
      <w:r>
        <w:rPr>
          <w:sz w:val="20"/>
          <w:szCs w:val="20"/>
          <w:highlight w:val="white"/>
        </w:rPr>
        <w:t>.1.1 Marco Normativo</w:t>
      </w:r>
    </w:p>
    <w:p w14:paraId="0000001E" w14:textId="77777777" w:rsidR="00CB252E" w:rsidRDefault="00000000">
      <w:pPr>
        <w:ind w:left="360" w:firstLine="718"/>
        <w:rPr>
          <w:sz w:val="20"/>
          <w:szCs w:val="20"/>
          <w:highlight w:val="white"/>
        </w:rPr>
      </w:pPr>
      <w:r>
        <w:rPr>
          <w:sz w:val="20"/>
          <w:szCs w:val="20"/>
          <w:highlight w:val="white"/>
        </w:rPr>
        <w:t>1.1.2 Importancia de los intangibles dentro de las organizaciones</w:t>
      </w:r>
    </w:p>
    <w:p w14:paraId="0000001F" w14:textId="77777777" w:rsidR="00CB252E" w:rsidRDefault="00000000">
      <w:pPr>
        <w:ind w:left="360" w:firstLine="718"/>
        <w:rPr>
          <w:sz w:val="20"/>
          <w:szCs w:val="20"/>
          <w:highlight w:val="white"/>
        </w:rPr>
      </w:pPr>
      <w:r>
        <w:rPr>
          <w:sz w:val="20"/>
          <w:szCs w:val="20"/>
          <w:highlight w:val="white"/>
        </w:rPr>
        <w:t>1.1.3 Clasificación de Activos Intangibles</w:t>
      </w:r>
    </w:p>
    <w:p w14:paraId="00000020" w14:textId="77777777" w:rsidR="00CB252E" w:rsidRDefault="00000000">
      <w:pPr>
        <w:ind w:left="360" w:firstLine="718"/>
        <w:rPr>
          <w:sz w:val="20"/>
          <w:szCs w:val="20"/>
          <w:highlight w:val="white"/>
        </w:rPr>
      </w:pPr>
      <w:r>
        <w:rPr>
          <w:sz w:val="20"/>
          <w:szCs w:val="20"/>
          <w:highlight w:val="white"/>
        </w:rPr>
        <w:lastRenderedPageBreak/>
        <w:t>1.1.4 Reconocimiento y medición de Intangibles</w:t>
      </w:r>
    </w:p>
    <w:p w14:paraId="00000021" w14:textId="77777777" w:rsidR="00CB252E" w:rsidRDefault="00000000">
      <w:pPr>
        <w:ind w:left="360" w:firstLine="718"/>
        <w:rPr>
          <w:sz w:val="20"/>
          <w:szCs w:val="20"/>
          <w:highlight w:val="white"/>
        </w:rPr>
      </w:pPr>
      <w:r>
        <w:rPr>
          <w:sz w:val="20"/>
          <w:szCs w:val="20"/>
          <w:highlight w:val="white"/>
        </w:rPr>
        <w:t>1.1.5 Generalidades de intangibles: vida útil, periodo, método de amortización y valor razonable</w:t>
      </w:r>
    </w:p>
    <w:p w14:paraId="00000022" w14:textId="77777777" w:rsidR="00CB252E" w:rsidRDefault="00000000">
      <w:pPr>
        <w:ind w:left="360" w:firstLine="718"/>
        <w:rPr>
          <w:sz w:val="20"/>
          <w:szCs w:val="20"/>
          <w:highlight w:val="white"/>
        </w:rPr>
      </w:pPr>
      <w:r>
        <w:rPr>
          <w:sz w:val="20"/>
          <w:szCs w:val="20"/>
          <w:highlight w:val="white"/>
        </w:rPr>
        <w:t>1.1.6 Política contable de intangibles</w:t>
      </w:r>
    </w:p>
    <w:p w14:paraId="00000023" w14:textId="77777777" w:rsidR="00CB252E" w:rsidRDefault="00000000">
      <w:pPr>
        <w:ind w:firstLine="718"/>
        <w:rPr>
          <w:b/>
          <w:sz w:val="20"/>
          <w:szCs w:val="20"/>
        </w:rPr>
      </w:pPr>
      <w:r>
        <w:rPr>
          <w:b/>
          <w:sz w:val="20"/>
          <w:szCs w:val="20"/>
        </w:rPr>
        <w:t>1. 2 Diferidos</w:t>
      </w:r>
    </w:p>
    <w:p w14:paraId="00000024" w14:textId="77777777" w:rsidR="00CB252E" w:rsidRDefault="00CB252E">
      <w:pPr>
        <w:ind w:firstLine="718"/>
        <w:rPr>
          <w:b/>
          <w:sz w:val="20"/>
          <w:szCs w:val="20"/>
        </w:rPr>
      </w:pPr>
    </w:p>
    <w:p w14:paraId="00000025" w14:textId="77777777" w:rsidR="00CB252E" w:rsidRDefault="00000000">
      <w:pPr>
        <w:ind w:left="722" w:firstLine="718"/>
        <w:rPr>
          <w:sz w:val="20"/>
          <w:szCs w:val="20"/>
        </w:rPr>
      </w:pPr>
      <w:r>
        <w:rPr>
          <w:sz w:val="20"/>
          <w:szCs w:val="20"/>
        </w:rPr>
        <w:t>1.2.1. Concepto de cargos diferidos</w:t>
      </w:r>
    </w:p>
    <w:p w14:paraId="00000026" w14:textId="77777777" w:rsidR="00CB252E" w:rsidRDefault="00000000">
      <w:pPr>
        <w:ind w:left="722" w:firstLine="718"/>
        <w:jc w:val="both"/>
        <w:rPr>
          <w:color w:val="000000"/>
          <w:sz w:val="20"/>
          <w:szCs w:val="20"/>
          <w:highlight w:val="white"/>
        </w:rPr>
      </w:pPr>
      <w:r>
        <w:rPr>
          <w:color w:val="000000"/>
          <w:sz w:val="20"/>
          <w:szCs w:val="20"/>
          <w:highlight w:val="white"/>
        </w:rPr>
        <w:t>1.2.2. Concepto de Gastos Pagados por anticipado</w:t>
      </w:r>
    </w:p>
    <w:p w14:paraId="00000027" w14:textId="77777777" w:rsidR="00CB252E" w:rsidRDefault="00000000">
      <w:pPr>
        <w:ind w:left="722" w:firstLine="718"/>
        <w:rPr>
          <w:sz w:val="20"/>
          <w:szCs w:val="20"/>
          <w:highlight w:val="white"/>
        </w:rPr>
      </w:pPr>
      <w:r>
        <w:rPr>
          <w:sz w:val="20"/>
          <w:szCs w:val="20"/>
          <w:highlight w:val="white"/>
        </w:rPr>
        <w:t>1.2.3. Reconocimiento y medición.</w:t>
      </w:r>
    </w:p>
    <w:p w14:paraId="00000028" w14:textId="77777777" w:rsidR="00CB252E" w:rsidRDefault="00000000">
      <w:pPr>
        <w:ind w:left="722" w:firstLine="718"/>
        <w:rPr>
          <w:sz w:val="20"/>
          <w:szCs w:val="20"/>
        </w:rPr>
      </w:pPr>
      <w:r>
        <w:rPr>
          <w:sz w:val="20"/>
          <w:szCs w:val="20"/>
          <w:highlight w:val="white"/>
        </w:rPr>
        <w:t>1.2.4. Retiros, enajenaciones y revelación.</w:t>
      </w:r>
    </w:p>
    <w:p w14:paraId="00000029" w14:textId="77777777" w:rsidR="00CB252E" w:rsidRDefault="00CB252E">
      <w:pPr>
        <w:pBdr>
          <w:top w:val="nil"/>
          <w:left w:val="nil"/>
          <w:bottom w:val="nil"/>
          <w:right w:val="nil"/>
          <w:between w:val="nil"/>
        </w:pBdr>
        <w:spacing w:before="240"/>
        <w:rPr>
          <w:b/>
          <w:sz w:val="20"/>
          <w:szCs w:val="20"/>
        </w:rPr>
      </w:pPr>
    </w:p>
    <w:p w14:paraId="0000002A" w14:textId="77777777" w:rsidR="00CB252E" w:rsidRDefault="00000000">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DESARROLLO DE CONTENIDOS: </w:t>
      </w:r>
    </w:p>
    <w:p w14:paraId="0000002B" w14:textId="77777777" w:rsidR="00CB252E" w:rsidRDefault="00000000">
      <w:pPr>
        <w:spacing w:before="240"/>
        <w:ind w:left="2" w:hanging="2"/>
        <w:jc w:val="both"/>
        <w:rPr>
          <w:b/>
          <w:sz w:val="20"/>
          <w:szCs w:val="20"/>
        </w:rPr>
      </w:pPr>
      <w:r>
        <w:rPr>
          <w:b/>
          <w:sz w:val="20"/>
          <w:szCs w:val="20"/>
        </w:rPr>
        <w:t>Introducción</w:t>
      </w:r>
    </w:p>
    <w:p w14:paraId="0000002C" w14:textId="77777777" w:rsidR="00CB252E" w:rsidRDefault="00000000">
      <w:pPr>
        <w:spacing w:before="240"/>
        <w:ind w:left="2" w:hanging="2"/>
        <w:jc w:val="both"/>
        <w:rPr>
          <w:sz w:val="20"/>
          <w:szCs w:val="20"/>
        </w:rPr>
      </w:pPr>
      <w:r>
        <w:rPr>
          <w:b/>
          <w:sz w:val="20"/>
          <w:szCs w:val="20"/>
        </w:rPr>
        <w:br/>
      </w:r>
      <w:r>
        <w:rPr>
          <w:sz w:val="20"/>
          <w:szCs w:val="20"/>
        </w:rPr>
        <w:t>Bienvenido, para comprender este escenario lo invito a ser parte de la construcción del conocimiento en torno al concepto, importancia, características componentes y elementos con respecto a la normativa y tratamiento contable de los intangibles, prescritos en la norma internacional NIC 38. De igual forma se analiza el tratamiento contable de los diferidos, teniendo en cuenta las normas legales vigentes.</w:t>
      </w:r>
    </w:p>
    <w:p w14:paraId="0000002D" w14:textId="77777777" w:rsidR="00CB252E" w:rsidRDefault="00CB252E">
      <w:pPr>
        <w:spacing w:before="240"/>
        <w:ind w:left="2" w:hanging="2"/>
        <w:jc w:val="both"/>
        <w:rPr>
          <w:sz w:val="20"/>
          <w:szCs w:val="20"/>
        </w:rPr>
      </w:pPr>
    </w:p>
    <w:p w14:paraId="0000002E" w14:textId="77777777" w:rsidR="00CB252E" w:rsidRDefault="00000000">
      <w:pPr>
        <w:jc w:val="both"/>
        <w:rPr>
          <w:rFonts w:ascii="Times New Roman" w:eastAsia="Times New Roman" w:hAnsi="Times New Roman" w:cs="Times New Roman"/>
          <w:sz w:val="24"/>
          <w:szCs w:val="24"/>
        </w:rPr>
      </w:pPr>
      <w:r>
        <w:rPr>
          <w:b/>
          <w:color w:val="000000"/>
          <w:sz w:val="20"/>
          <w:szCs w:val="20"/>
          <w:highlight w:val="white"/>
        </w:rPr>
        <w:t xml:space="preserve">Nota aclaratoria: </w:t>
      </w:r>
      <w:r>
        <w:rPr>
          <w:color w:val="000000"/>
          <w:sz w:val="20"/>
          <w:szCs w:val="20"/>
          <w:highlight w:val="white"/>
        </w:rPr>
        <w:t>las tablas que se toman como referencia en los ejemplos de cada uno de los temas desarrollados, elaboradas mediante el programa Excel son derivadas de estos ejercicios, la elaboración es propia del autor del presente componente, por lo tanto, no se numeran y no se establece un nombre específico.</w:t>
      </w:r>
    </w:p>
    <w:p w14:paraId="0000002F" w14:textId="77777777" w:rsidR="00CB252E" w:rsidRDefault="00CB252E">
      <w:pPr>
        <w:spacing w:before="240"/>
        <w:ind w:left="2" w:hanging="2"/>
        <w:jc w:val="both"/>
        <w:rPr>
          <w:sz w:val="20"/>
          <w:szCs w:val="20"/>
        </w:rPr>
      </w:pPr>
    </w:p>
    <w:p w14:paraId="00000030" w14:textId="77777777" w:rsidR="00CB252E" w:rsidRDefault="00000000">
      <w:pPr>
        <w:spacing w:before="240"/>
        <w:ind w:left="2" w:hanging="2"/>
        <w:rPr>
          <w:b/>
          <w:sz w:val="20"/>
          <w:szCs w:val="20"/>
        </w:rPr>
      </w:pPr>
      <w:r>
        <w:rPr>
          <w:b/>
          <w:sz w:val="20"/>
          <w:szCs w:val="20"/>
        </w:rPr>
        <w:t>1. Intangibles y Diferidos</w:t>
      </w:r>
    </w:p>
    <w:p w14:paraId="00000031" w14:textId="77777777" w:rsidR="00CB252E" w:rsidRDefault="00000000">
      <w:pPr>
        <w:shd w:val="clear" w:color="auto" w:fill="FFFFFF"/>
        <w:spacing w:before="240"/>
        <w:ind w:left="2" w:hanging="2"/>
        <w:jc w:val="both"/>
        <w:rPr>
          <w:sz w:val="20"/>
          <w:szCs w:val="20"/>
        </w:rPr>
      </w:pPr>
      <w:r>
        <w:rPr>
          <w:sz w:val="20"/>
          <w:szCs w:val="20"/>
        </w:rPr>
        <w:t xml:space="preserve">La NIC-38 establece que “un activo intangible debe ser identificable, es de carácter no monetario y sin apariencia física” (Blanco, 2013, p. 5).  </w:t>
      </w:r>
    </w:p>
    <w:p w14:paraId="00000032" w14:textId="77777777" w:rsidR="00CB252E" w:rsidRDefault="00000000">
      <w:pPr>
        <w:shd w:val="clear" w:color="auto" w:fill="FFFFFF"/>
        <w:spacing w:before="240"/>
        <w:ind w:left="722" w:hanging="2"/>
        <w:jc w:val="both"/>
        <w:rPr>
          <w:b/>
          <w:sz w:val="20"/>
          <w:szCs w:val="20"/>
        </w:rPr>
      </w:pPr>
      <w:r>
        <w:rPr>
          <w:b/>
          <w:sz w:val="20"/>
          <w:szCs w:val="20"/>
        </w:rPr>
        <w:t>1.1.1.</w:t>
      </w:r>
      <w:r>
        <w:rPr>
          <w:sz w:val="20"/>
          <w:szCs w:val="20"/>
        </w:rPr>
        <w:t xml:space="preserve"> </w:t>
      </w:r>
      <w:r>
        <w:rPr>
          <w:b/>
          <w:sz w:val="20"/>
          <w:szCs w:val="20"/>
        </w:rPr>
        <w:t>Marco Normativo</w:t>
      </w:r>
    </w:p>
    <w:p w14:paraId="00000033" w14:textId="77777777" w:rsidR="00CB252E" w:rsidRDefault="00000000">
      <w:pPr>
        <w:shd w:val="clear" w:color="auto" w:fill="FFFFFF"/>
        <w:spacing w:before="240"/>
        <w:ind w:left="2" w:hanging="2"/>
        <w:jc w:val="both"/>
        <w:rPr>
          <w:sz w:val="20"/>
          <w:szCs w:val="20"/>
        </w:rPr>
      </w:pPr>
      <w:r>
        <w:rPr>
          <w:b/>
          <w:sz w:val="20"/>
          <w:szCs w:val="20"/>
        </w:rPr>
        <w:br/>
      </w:r>
      <w:r>
        <w:rPr>
          <w:sz w:val="20"/>
          <w:szCs w:val="20"/>
        </w:rPr>
        <w:t>Para realizar la presentación razonable y en cumplimiento de las NIIF, los estados financieros siempre deben reflejar, razonablemente, todas y cada una de sus partidas, dentro de las que se encuentran, los activos intangibles. Esta presentación razonable exige proporcionar la imagen fiel de los efectos de las transacciones, eventos y condiciones de acuerdo con las definiciones y criterios de reconocimiento de los activos, pasivos, ingresos y gastos fijados en el Marco Conceptual de la norma.</w:t>
      </w:r>
    </w:p>
    <w:p w14:paraId="00000034" w14:textId="77777777" w:rsidR="00CB252E" w:rsidRDefault="00000000">
      <w:pPr>
        <w:shd w:val="clear" w:color="auto" w:fill="FFFFFF"/>
        <w:spacing w:before="240"/>
        <w:ind w:left="722" w:hanging="2"/>
        <w:jc w:val="both"/>
        <w:rPr>
          <w:b/>
          <w:sz w:val="20"/>
          <w:szCs w:val="20"/>
        </w:rPr>
      </w:pPr>
      <w:r>
        <w:rPr>
          <w:b/>
          <w:sz w:val="20"/>
          <w:szCs w:val="20"/>
        </w:rPr>
        <w:t>1.1.2. Importancia de los intangibles dentro de las organizaciones</w:t>
      </w:r>
    </w:p>
    <w:p w14:paraId="00000035" w14:textId="77777777" w:rsidR="00CB252E" w:rsidRDefault="00000000">
      <w:pPr>
        <w:shd w:val="clear" w:color="auto" w:fill="FFFFFF"/>
        <w:spacing w:before="240"/>
        <w:ind w:left="2" w:hanging="2"/>
        <w:jc w:val="both"/>
        <w:rPr>
          <w:sz w:val="20"/>
          <w:szCs w:val="20"/>
        </w:rPr>
      </w:pPr>
      <w:r>
        <w:rPr>
          <w:b/>
          <w:sz w:val="20"/>
          <w:szCs w:val="20"/>
        </w:rPr>
        <w:br/>
      </w:r>
      <w:r>
        <w:rPr>
          <w:sz w:val="20"/>
          <w:szCs w:val="20"/>
        </w:rPr>
        <w:t>Los intangibles se han convertido en un factor importante dentro de las organizaciones y su valor agregado se ve reflejado a través de diferentes elementos (licencias, concesiones, patentes, propiedad intelectual, software entre otros) que han tenido relevancia y se han catalogado como activos capitalizables dentro de las organizaciones.</w:t>
      </w:r>
    </w:p>
    <w:p w14:paraId="00000036" w14:textId="77777777" w:rsidR="00CB252E" w:rsidRDefault="00000000">
      <w:pPr>
        <w:spacing w:before="240"/>
        <w:ind w:left="2" w:hanging="2"/>
        <w:jc w:val="both"/>
        <w:rPr>
          <w:sz w:val="20"/>
          <w:szCs w:val="20"/>
        </w:rPr>
      </w:pPr>
      <w:r>
        <w:rPr>
          <w:sz w:val="20"/>
          <w:szCs w:val="20"/>
        </w:rPr>
        <w:lastRenderedPageBreak/>
        <w:t>Es importante reconocer que los activos intangibles no crean valor por sí mismos, puesto que, estos deben ir acompañados por la capacidad intelectual del factor humano ya que, en muchas ocasiones el mal manejo de estos elementos, o un mal reconocimiento o medición de estos activos dentro de las organizaciones pueden generar declive o desprendimiento de valor para el bien o servicio.</w:t>
      </w:r>
    </w:p>
    <w:p w14:paraId="00000037" w14:textId="77777777" w:rsidR="00CB252E" w:rsidRDefault="00CB252E">
      <w:pPr>
        <w:spacing w:before="240"/>
        <w:ind w:left="2" w:hanging="2"/>
        <w:jc w:val="both"/>
        <w:rPr>
          <w:sz w:val="20"/>
          <w:szCs w:val="20"/>
        </w:rPr>
      </w:pPr>
    </w:p>
    <w:p w14:paraId="00000038" w14:textId="77777777" w:rsidR="00CB252E" w:rsidRDefault="00000000">
      <w:pPr>
        <w:shd w:val="clear" w:color="auto" w:fill="FFFFFF"/>
        <w:spacing w:before="240"/>
        <w:ind w:left="722" w:hanging="2"/>
        <w:jc w:val="both"/>
        <w:rPr>
          <w:color w:val="000000"/>
          <w:sz w:val="20"/>
          <w:szCs w:val="20"/>
        </w:rPr>
      </w:pPr>
      <w:r>
        <w:rPr>
          <w:b/>
          <w:color w:val="000000"/>
          <w:sz w:val="20"/>
          <w:szCs w:val="20"/>
        </w:rPr>
        <w:t>1.1.3. Clasificación de Activos Intangibles</w:t>
      </w:r>
    </w:p>
    <w:p w14:paraId="00000039" w14:textId="77777777" w:rsidR="00CB252E" w:rsidRDefault="00000000">
      <w:pPr>
        <w:spacing w:before="240"/>
        <w:ind w:left="2"/>
        <w:jc w:val="both"/>
        <w:rPr>
          <w:sz w:val="20"/>
          <w:szCs w:val="20"/>
        </w:rPr>
      </w:pPr>
      <w:r>
        <w:rPr>
          <w:b/>
          <w:sz w:val="20"/>
          <w:szCs w:val="20"/>
        </w:rPr>
        <w:t>Activos Intangibles No Identificables</w:t>
      </w:r>
      <w:r>
        <w:rPr>
          <w:sz w:val="20"/>
          <w:szCs w:val="20"/>
        </w:rPr>
        <w:t xml:space="preserve">: </w:t>
      </w:r>
    </w:p>
    <w:p w14:paraId="0000003A" w14:textId="77777777" w:rsidR="00CB252E" w:rsidRDefault="00000000">
      <w:pPr>
        <w:spacing w:before="240"/>
        <w:ind w:left="2"/>
        <w:jc w:val="both"/>
        <w:rPr>
          <w:sz w:val="20"/>
          <w:szCs w:val="20"/>
        </w:rPr>
      </w:pPr>
      <w:bookmarkStart w:id="1" w:name="_heading=h.2et92p0" w:colFirst="0" w:colLast="0"/>
      <w:bookmarkEnd w:id="1"/>
      <w:r>
        <w:rPr>
          <w:sz w:val="20"/>
          <w:szCs w:val="20"/>
        </w:rPr>
        <w:br/>
        <w:t xml:space="preserve">Son activos que no se pueden separar. Por ejemplo, una empresa no puede vender su posicionamiento porque tendría que vender toda la empresa, no puede vender por un lado la empresa y por otro lado el posicionamiento, se tiene que vender las dos cosas en conjunto ya que son inherentes a la entidad. </w:t>
      </w:r>
    </w:p>
    <w:p w14:paraId="0000003B" w14:textId="77777777" w:rsidR="00CB252E" w:rsidRDefault="00000000">
      <w:pPr>
        <w:spacing w:before="240"/>
        <w:ind w:left="2"/>
        <w:jc w:val="both"/>
        <w:rPr>
          <w:b/>
          <w:sz w:val="20"/>
          <w:szCs w:val="20"/>
        </w:rPr>
      </w:pPr>
      <w:r>
        <w:rPr>
          <w:b/>
          <w:sz w:val="20"/>
          <w:szCs w:val="20"/>
        </w:rPr>
        <w:t>Activos Intangibles Identificables:</w:t>
      </w:r>
    </w:p>
    <w:p w14:paraId="0000003C" w14:textId="77777777" w:rsidR="00CB252E" w:rsidRDefault="00000000">
      <w:pPr>
        <w:spacing w:before="240"/>
        <w:ind w:left="2"/>
        <w:jc w:val="both"/>
        <w:rPr>
          <w:sz w:val="20"/>
          <w:szCs w:val="20"/>
        </w:rPr>
      </w:pPr>
      <w:r>
        <w:rPr>
          <w:b/>
          <w:sz w:val="20"/>
          <w:szCs w:val="20"/>
        </w:rPr>
        <w:t xml:space="preserve"> </w:t>
      </w:r>
      <w:r>
        <w:rPr>
          <w:b/>
          <w:sz w:val="20"/>
          <w:szCs w:val="20"/>
        </w:rPr>
        <w:br/>
      </w:r>
      <w:r>
        <w:rPr>
          <w:sz w:val="20"/>
          <w:szCs w:val="20"/>
        </w:rPr>
        <w:t xml:space="preserve">Contrario a los no identificables los activos identificables son activos que se pueden separar. En este caso, podemos señalar algunos ejemplos como, los relacionados con la tecnología, bases de datos, software, licencias entre otros. </w:t>
      </w:r>
    </w:p>
    <w:p w14:paraId="0000003D" w14:textId="77777777" w:rsidR="00CB252E" w:rsidRDefault="00000000">
      <w:pPr>
        <w:shd w:val="clear" w:color="auto" w:fill="FFFFFF"/>
        <w:spacing w:before="240"/>
        <w:ind w:left="720"/>
        <w:rPr>
          <w:b/>
          <w:sz w:val="20"/>
          <w:szCs w:val="20"/>
        </w:rPr>
      </w:pPr>
      <w:r>
        <w:rPr>
          <w:b/>
          <w:sz w:val="20"/>
          <w:szCs w:val="20"/>
        </w:rPr>
        <w:t>1.1</w:t>
      </w:r>
      <w:r>
        <w:rPr>
          <w:b/>
          <w:color w:val="000000"/>
          <w:sz w:val="20"/>
          <w:szCs w:val="20"/>
        </w:rPr>
        <w:t>.4. Reconocimiento y medición de Intangibles</w:t>
      </w:r>
      <w:r>
        <w:rPr>
          <w:b/>
          <w:sz w:val="20"/>
          <w:szCs w:val="20"/>
        </w:rPr>
        <w:br/>
      </w:r>
    </w:p>
    <w:p w14:paraId="0000003E" w14:textId="77777777" w:rsidR="00CB252E" w:rsidRDefault="00000000">
      <w:pPr>
        <w:shd w:val="clear" w:color="auto" w:fill="FFFFFF"/>
        <w:spacing w:before="240"/>
        <w:jc w:val="both"/>
        <w:rPr>
          <w:b/>
          <w:sz w:val="20"/>
          <w:szCs w:val="20"/>
        </w:rPr>
      </w:pPr>
      <w:r>
        <w:rPr>
          <w:b/>
          <w:sz w:val="20"/>
          <w:szCs w:val="20"/>
        </w:rPr>
        <w:t>Reconocimiento de Intangibles.</w:t>
      </w:r>
    </w:p>
    <w:p w14:paraId="0000003F" w14:textId="77777777" w:rsidR="00CB252E" w:rsidRDefault="00000000">
      <w:pPr>
        <w:shd w:val="clear" w:color="auto" w:fill="FFFFFF"/>
        <w:spacing w:before="240"/>
        <w:jc w:val="both"/>
        <w:rPr>
          <w:b/>
          <w:sz w:val="20"/>
          <w:szCs w:val="20"/>
        </w:rPr>
      </w:pPr>
      <w:r>
        <w:rPr>
          <w:b/>
          <w:sz w:val="20"/>
          <w:szCs w:val="20"/>
        </w:rPr>
        <w:br/>
      </w:r>
      <w:r>
        <w:rPr>
          <w:sz w:val="20"/>
          <w:szCs w:val="20"/>
        </w:rPr>
        <w:t xml:space="preserve">Las Normas Internacionales de Información Financiera (NIIF) - NIC 38 Activos Intangibles, reconocerán los activos intangibles teniendo en cuenta la circunstancia o la eventualidad de la adquisición. </w:t>
      </w:r>
    </w:p>
    <w:p w14:paraId="00000040" w14:textId="77777777" w:rsidR="00CB252E" w:rsidRDefault="00000000">
      <w:pPr>
        <w:shd w:val="clear" w:color="auto" w:fill="FFFFFF"/>
        <w:spacing w:before="240"/>
        <w:jc w:val="both"/>
        <w:rPr>
          <w:sz w:val="20"/>
          <w:szCs w:val="20"/>
        </w:rPr>
      </w:pPr>
      <w:r>
        <w:rPr>
          <w:sz w:val="20"/>
          <w:szCs w:val="20"/>
        </w:rPr>
        <w:t>Estos activos pueden ser adquiridos por separado, como parte de una combinación de negocios, mediante una subvención del gobierno, o a través de permuta.</w:t>
      </w:r>
    </w:p>
    <w:p w14:paraId="00000041" w14:textId="77777777" w:rsidR="00CB252E" w:rsidRDefault="00000000">
      <w:pPr>
        <w:spacing w:before="240"/>
        <w:jc w:val="both"/>
        <w:rPr>
          <w:sz w:val="20"/>
          <w:szCs w:val="20"/>
        </w:rPr>
      </w:pPr>
      <w:r>
        <w:rPr>
          <w:sz w:val="20"/>
          <w:szCs w:val="20"/>
        </w:rPr>
        <w:t>De igual manera es importante tener claro que los activos intangibles cuando se adquieren por separado se reconocerán por el precio de adquisición y cualquier otro costo directamente atribuible a la preparación y puesta en marcha del activo, y cuando son adquiridos mediante permuta de activos se reconocerán por el valor en libros del activo entregado o por el valor razonable. En los demás casos se reconocerá por su valor razonable.</w:t>
      </w:r>
    </w:p>
    <w:p w14:paraId="00000042" w14:textId="77777777" w:rsidR="00CB252E" w:rsidRDefault="00000000">
      <w:pPr>
        <w:shd w:val="clear" w:color="auto" w:fill="FFFFFF"/>
        <w:spacing w:before="240"/>
        <w:ind w:left="2" w:hanging="2"/>
        <w:jc w:val="both"/>
        <w:rPr>
          <w:sz w:val="20"/>
          <w:szCs w:val="20"/>
        </w:rPr>
      </w:pPr>
      <w:r>
        <w:rPr>
          <w:b/>
          <w:sz w:val="20"/>
          <w:szCs w:val="20"/>
        </w:rPr>
        <w:t>Medición de Intangibles</w:t>
      </w:r>
    </w:p>
    <w:p w14:paraId="00000043" w14:textId="77777777" w:rsidR="00CB252E" w:rsidRDefault="00000000">
      <w:pPr>
        <w:spacing w:before="240"/>
        <w:jc w:val="both"/>
        <w:rPr>
          <w:color w:val="000000"/>
          <w:sz w:val="20"/>
          <w:szCs w:val="20"/>
        </w:rPr>
      </w:pPr>
      <w:r>
        <w:rPr>
          <w:color w:val="000000"/>
          <w:sz w:val="20"/>
          <w:szCs w:val="20"/>
        </w:rPr>
        <w:t>De acuerdo con la NIC 38 un activo intangible se mide inicialmente al costo. Este costo comprende el precio de adquisición teniendo en cuenta los aranceles de importación e impuestos descontables en que se incurran sobre la adquisición, una vez aplicados los descuentos y rebajas comerciales, como también cualquier otro costo directamente atribuido y que implique la puesta en marcha y funcionamiento del activo.</w:t>
      </w:r>
    </w:p>
    <w:p w14:paraId="00000044" w14:textId="77777777" w:rsidR="00CB252E" w:rsidRDefault="00CB252E">
      <w:pPr>
        <w:spacing w:before="240"/>
        <w:ind w:left="722" w:hanging="2"/>
        <w:jc w:val="both"/>
        <w:rPr>
          <w:b/>
          <w:color w:val="000000"/>
          <w:sz w:val="20"/>
          <w:szCs w:val="20"/>
        </w:rPr>
      </w:pPr>
    </w:p>
    <w:p w14:paraId="00000045" w14:textId="77777777" w:rsidR="00CB252E" w:rsidRDefault="00CB252E">
      <w:pPr>
        <w:spacing w:before="240"/>
        <w:ind w:left="722" w:hanging="2"/>
        <w:jc w:val="both"/>
        <w:rPr>
          <w:b/>
          <w:color w:val="000000"/>
          <w:sz w:val="20"/>
          <w:szCs w:val="20"/>
        </w:rPr>
      </w:pPr>
    </w:p>
    <w:p w14:paraId="00000046" w14:textId="77777777" w:rsidR="00CB252E" w:rsidRDefault="00CB252E">
      <w:pPr>
        <w:spacing w:before="240"/>
        <w:ind w:left="722" w:hanging="2"/>
        <w:jc w:val="both"/>
        <w:rPr>
          <w:b/>
          <w:color w:val="000000"/>
          <w:sz w:val="20"/>
          <w:szCs w:val="20"/>
        </w:rPr>
      </w:pPr>
    </w:p>
    <w:p w14:paraId="00000047" w14:textId="77777777" w:rsidR="00CB252E" w:rsidRDefault="00000000">
      <w:pPr>
        <w:spacing w:before="240"/>
        <w:ind w:left="722" w:hanging="2"/>
        <w:jc w:val="both"/>
        <w:rPr>
          <w:color w:val="000000"/>
          <w:sz w:val="20"/>
          <w:szCs w:val="20"/>
        </w:rPr>
      </w:pPr>
      <w:bookmarkStart w:id="2" w:name="_heading=h.1t3h5sf" w:colFirst="0" w:colLast="0"/>
      <w:bookmarkEnd w:id="2"/>
      <w:r>
        <w:rPr>
          <w:b/>
          <w:color w:val="000000"/>
          <w:sz w:val="20"/>
          <w:szCs w:val="20"/>
        </w:rPr>
        <w:t>1.1.5. Generalidades de intangibles: vida útil, periodo, método de amortización y valor razonable.</w:t>
      </w:r>
    </w:p>
    <w:p w14:paraId="00000048" w14:textId="77777777" w:rsidR="00CB252E" w:rsidRDefault="00CB252E">
      <w:pPr>
        <w:spacing w:before="240"/>
        <w:ind w:left="722" w:hanging="2"/>
        <w:jc w:val="both"/>
        <w:rPr>
          <w:color w:val="000000"/>
          <w:sz w:val="20"/>
          <w:szCs w:val="20"/>
        </w:rPr>
      </w:pPr>
    </w:p>
    <w:p w14:paraId="00000049" w14:textId="77777777" w:rsidR="00CB252E" w:rsidRDefault="00000000">
      <w:pPr>
        <w:shd w:val="clear" w:color="auto" w:fill="FFFFFF"/>
        <w:spacing w:before="240"/>
        <w:jc w:val="both"/>
        <w:rPr>
          <w:sz w:val="20"/>
          <w:szCs w:val="20"/>
        </w:rPr>
      </w:pPr>
      <w:r>
        <w:rPr>
          <w:b/>
          <w:sz w:val="20"/>
          <w:szCs w:val="20"/>
        </w:rPr>
        <w:t>Vida Útil</w:t>
      </w:r>
    </w:p>
    <w:p w14:paraId="0000004A" w14:textId="77777777" w:rsidR="00CB252E" w:rsidRDefault="00000000">
      <w:pPr>
        <w:spacing w:before="240"/>
        <w:ind w:left="2" w:hanging="2"/>
        <w:jc w:val="both"/>
        <w:rPr>
          <w:color w:val="000000"/>
          <w:sz w:val="20"/>
          <w:szCs w:val="20"/>
        </w:rPr>
      </w:pPr>
      <w:r>
        <w:rPr>
          <w:color w:val="000000"/>
          <w:sz w:val="20"/>
          <w:szCs w:val="20"/>
        </w:rPr>
        <w:t>La vida útil de los activos intangibles es considerada como el periodo de tiempo, durante el cual se espera contribuyan a la generación de flujos de efectivo para la entidad.</w:t>
      </w:r>
    </w:p>
    <w:p w14:paraId="0000004B" w14:textId="77777777" w:rsidR="00CB252E" w:rsidRDefault="00000000">
      <w:pPr>
        <w:spacing w:before="240"/>
        <w:ind w:left="2" w:hanging="2"/>
        <w:jc w:val="both"/>
        <w:rPr>
          <w:color w:val="000000"/>
          <w:sz w:val="20"/>
          <w:szCs w:val="20"/>
        </w:rPr>
      </w:pPr>
      <w:r>
        <w:rPr>
          <w:color w:val="000000"/>
          <w:sz w:val="20"/>
          <w:szCs w:val="20"/>
        </w:rPr>
        <w:t>Una entidad deberá considerar si la vida útil de un activo intangible es finita o indefinida, si el activo tiene una vida finita se amortizará. Estos activos cuando son generados internamente tienen una vida útil definida. En el caso donde no pueda determinarse con fiabilidad, se estima que es de 10 años.</w:t>
      </w:r>
    </w:p>
    <w:p w14:paraId="0000004C" w14:textId="77777777" w:rsidR="00CB252E" w:rsidRDefault="00000000">
      <w:pPr>
        <w:spacing w:before="240"/>
        <w:ind w:left="2" w:hanging="2"/>
        <w:jc w:val="both"/>
        <w:rPr>
          <w:color w:val="000000"/>
          <w:sz w:val="20"/>
          <w:szCs w:val="20"/>
        </w:rPr>
      </w:pPr>
      <w:r>
        <w:rPr>
          <w:color w:val="000000"/>
          <w:sz w:val="20"/>
          <w:szCs w:val="20"/>
        </w:rPr>
        <w:t>Normalmente los activos con vida útil finita se amortizan. Si, el activo tiene una vida infinita no se amortizará, pero cada periodo se deberá evaluar si existe o no deterioro.</w:t>
      </w:r>
    </w:p>
    <w:p w14:paraId="0000004D" w14:textId="77777777" w:rsidR="00CB252E" w:rsidRDefault="00000000">
      <w:pPr>
        <w:spacing w:before="240"/>
        <w:ind w:left="2" w:hanging="2"/>
        <w:jc w:val="both"/>
        <w:rPr>
          <w:sz w:val="20"/>
          <w:szCs w:val="20"/>
        </w:rPr>
      </w:pPr>
      <w:r>
        <w:rPr>
          <w:color w:val="000000"/>
          <w:sz w:val="20"/>
          <w:szCs w:val="20"/>
        </w:rPr>
        <w:t xml:space="preserve">De acuerdo con la NIC 38 la vida útil es “el periodo durante el cual se espera que la entidad utilice el activo” o “el número de unidades de producción o similares que se espera obtener del mismo por parte de una entidad”. </w:t>
      </w:r>
    </w:p>
    <w:p w14:paraId="0000004E" w14:textId="77777777" w:rsidR="00CB252E" w:rsidRDefault="00000000">
      <w:pPr>
        <w:shd w:val="clear" w:color="auto" w:fill="FFFFFF"/>
        <w:spacing w:before="240"/>
        <w:ind w:left="2" w:hanging="2"/>
        <w:jc w:val="both"/>
        <w:rPr>
          <w:sz w:val="20"/>
          <w:szCs w:val="20"/>
        </w:rPr>
      </w:pPr>
      <w:r>
        <w:rPr>
          <w:b/>
          <w:sz w:val="20"/>
          <w:szCs w:val="20"/>
        </w:rPr>
        <w:t xml:space="preserve">Ejemplo: </w:t>
      </w:r>
    </w:p>
    <w:p w14:paraId="0000004F" w14:textId="77777777" w:rsidR="00CB252E" w:rsidRDefault="00000000">
      <w:pPr>
        <w:shd w:val="clear" w:color="auto" w:fill="FFFFFF"/>
        <w:spacing w:before="240"/>
        <w:ind w:left="2" w:hanging="2"/>
        <w:jc w:val="both"/>
        <w:rPr>
          <w:sz w:val="20"/>
          <w:szCs w:val="20"/>
        </w:rPr>
      </w:pPr>
      <w:r>
        <w:rPr>
          <w:sz w:val="20"/>
          <w:szCs w:val="20"/>
        </w:rPr>
        <w:t xml:space="preserve">La compañía SABACO Ltda., el 1 de enero del año 20X1, adquiere una patente farmacéutica, a la que le queda una vida útil de 6 años, por $4.500.000.  En la misma fecha adquiere una marca comercial por $2.500.000. </w:t>
      </w:r>
    </w:p>
    <w:p w14:paraId="00000050" w14:textId="77777777" w:rsidR="00CB252E" w:rsidRDefault="00000000">
      <w:pPr>
        <w:shd w:val="clear" w:color="auto" w:fill="FFFFFF"/>
        <w:spacing w:before="240"/>
        <w:ind w:left="2" w:hanging="2"/>
        <w:jc w:val="both"/>
        <w:rPr>
          <w:sz w:val="20"/>
          <w:szCs w:val="20"/>
        </w:rPr>
      </w:pPr>
      <w:r>
        <w:rPr>
          <w:sz w:val="20"/>
          <w:szCs w:val="20"/>
        </w:rPr>
        <w:t xml:space="preserve">A principios del año 20X3 la entidad analiza que, la marca ha sufrido un </w:t>
      </w:r>
      <w:r>
        <w:rPr>
          <w:i/>
          <w:sz w:val="20"/>
          <w:szCs w:val="20"/>
        </w:rPr>
        <w:t xml:space="preserve">deterioro </w:t>
      </w:r>
      <w:r>
        <w:rPr>
          <w:sz w:val="20"/>
          <w:szCs w:val="20"/>
        </w:rPr>
        <w:t>del 30% de su valor y que dejará de tener valor comercial y por tanto dejará de producir flujos de efectivo dentro de 4 años.</w:t>
      </w:r>
    </w:p>
    <w:p w14:paraId="00000051" w14:textId="77777777" w:rsidR="00CB252E" w:rsidRDefault="00000000">
      <w:pPr>
        <w:shd w:val="clear" w:color="auto" w:fill="FFFFFF"/>
        <w:spacing w:before="240"/>
        <w:ind w:left="2" w:hanging="2"/>
        <w:jc w:val="both"/>
        <w:rPr>
          <w:sz w:val="20"/>
          <w:szCs w:val="20"/>
        </w:rPr>
      </w:pPr>
      <w:r>
        <w:rPr>
          <w:sz w:val="20"/>
          <w:szCs w:val="20"/>
        </w:rPr>
        <w:t xml:space="preserve">De acuerdo con la NIC 38 la vida útil es “el periodo durante el cual se espera que la entidad utilice el activo” o “el número de unidades de producción o similares que se espera obtener del mismo por parte de una entidad”. </w:t>
      </w:r>
    </w:p>
    <w:p w14:paraId="00000052" w14:textId="77777777" w:rsidR="00CB252E" w:rsidRDefault="00000000">
      <w:pPr>
        <w:spacing w:before="240"/>
        <w:ind w:left="2" w:hanging="2"/>
        <w:jc w:val="both"/>
        <w:rPr>
          <w:color w:val="000000"/>
          <w:sz w:val="20"/>
          <w:szCs w:val="20"/>
        </w:rPr>
      </w:pPr>
      <w:r>
        <w:rPr>
          <w:color w:val="000000"/>
          <w:sz w:val="20"/>
          <w:szCs w:val="20"/>
        </w:rPr>
        <w:t>1. Enero 1 de 20X1 se realiza el registro de la adquisición de la patente y de la marca:</w:t>
      </w:r>
    </w:p>
    <w:p w14:paraId="00000053" w14:textId="77777777" w:rsidR="00CB252E" w:rsidRDefault="00000000">
      <w:pPr>
        <w:spacing w:before="240"/>
        <w:ind w:left="2" w:hanging="2"/>
        <w:jc w:val="both"/>
        <w:rPr>
          <w:sz w:val="20"/>
          <w:szCs w:val="20"/>
        </w:rPr>
      </w:pPr>
      <w:r>
        <w:rPr>
          <w:sz w:val="20"/>
          <w:szCs w:val="20"/>
        </w:rPr>
        <w:t>**Causación- reconocimiento</w:t>
      </w:r>
    </w:p>
    <w:p w14:paraId="00000054" w14:textId="77777777" w:rsidR="00CB252E" w:rsidRDefault="00CB252E">
      <w:pPr>
        <w:spacing w:before="240"/>
        <w:ind w:left="2" w:hanging="2"/>
        <w:jc w:val="both"/>
        <w:rPr>
          <w:sz w:val="20"/>
          <w:szCs w:val="20"/>
        </w:rPr>
      </w:pPr>
    </w:p>
    <w:tbl>
      <w:tblPr>
        <w:tblStyle w:val="af"/>
        <w:tblW w:w="3750" w:type="dxa"/>
        <w:jc w:val="center"/>
        <w:tblInd w:w="0" w:type="dxa"/>
        <w:tblLayout w:type="fixed"/>
        <w:tblLook w:val="0400" w:firstRow="0" w:lastRow="0" w:firstColumn="0" w:lastColumn="0" w:noHBand="0" w:noVBand="1"/>
      </w:tblPr>
      <w:tblGrid>
        <w:gridCol w:w="1793"/>
        <w:gridCol w:w="938"/>
        <w:gridCol w:w="1019"/>
      </w:tblGrid>
      <w:tr w:rsidR="00CB252E" w14:paraId="1B2BBB45" w14:textId="77777777">
        <w:trPr>
          <w:trHeight w:val="315"/>
          <w:jc w:val="center"/>
        </w:trPr>
        <w:tc>
          <w:tcPr>
            <w:tcW w:w="179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55" w14:textId="77777777" w:rsidR="00CB252E" w:rsidRDefault="00000000">
            <w:pPr>
              <w:spacing w:before="240"/>
              <w:ind w:left="2" w:hanging="2"/>
              <w:jc w:val="center"/>
              <w:rPr>
                <w:color w:val="000000"/>
                <w:sz w:val="20"/>
                <w:szCs w:val="20"/>
              </w:rPr>
            </w:pPr>
            <w:r>
              <w:rPr>
                <w:b/>
                <w:color w:val="000000"/>
                <w:sz w:val="20"/>
                <w:szCs w:val="20"/>
              </w:rPr>
              <w:t>Cuenta</w:t>
            </w:r>
          </w:p>
        </w:tc>
        <w:tc>
          <w:tcPr>
            <w:tcW w:w="938" w:type="dxa"/>
            <w:tcBorders>
              <w:top w:val="single" w:sz="4" w:space="0" w:color="000000"/>
              <w:left w:val="nil"/>
              <w:bottom w:val="single" w:sz="4" w:space="0" w:color="000000"/>
              <w:right w:val="single" w:sz="4" w:space="0" w:color="000000"/>
            </w:tcBorders>
            <w:shd w:val="clear" w:color="auto" w:fill="F2F2F2"/>
            <w:vAlign w:val="center"/>
          </w:tcPr>
          <w:p w14:paraId="00000056" w14:textId="77777777" w:rsidR="00CB252E" w:rsidRDefault="00000000">
            <w:pPr>
              <w:spacing w:before="240"/>
              <w:ind w:left="2" w:hanging="2"/>
              <w:jc w:val="center"/>
              <w:rPr>
                <w:color w:val="000000"/>
                <w:sz w:val="20"/>
                <w:szCs w:val="20"/>
              </w:rPr>
            </w:pPr>
            <w:r>
              <w:rPr>
                <w:b/>
                <w:color w:val="000000"/>
                <w:sz w:val="20"/>
                <w:szCs w:val="20"/>
              </w:rPr>
              <w:t>Debe</w:t>
            </w:r>
          </w:p>
        </w:tc>
        <w:tc>
          <w:tcPr>
            <w:tcW w:w="1019" w:type="dxa"/>
            <w:tcBorders>
              <w:top w:val="single" w:sz="4" w:space="0" w:color="000000"/>
              <w:left w:val="nil"/>
              <w:bottom w:val="single" w:sz="4" w:space="0" w:color="000000"/>
              <w:right w:val="single" w:sz="4" w:space="0" w:color="000000"/>
            </w:tcBorders>
            <w:shd w:val="clear" w:color="auto" w:fill="F2F2F2"/>
            <w:vAlign w:val="center"/>
          </w:tcPr>
          <w:p w14:paraId="00000057" w14:textId="77777777" w:rsidR="00CB252E" w:rsidRDefault="00000000">
            <w:pPr>
              <w:spacing w:before="240"/>
              <w:ind w:left="2" w:hanging="2"/>
              <w:jc w:val="center"/>
              <w:rPr>
                <w:color w:val="000000"/>
                <w:sz w:val="20"/>
                <w:szCs w:val="20"/>
              </w:rPr>
            </w:pPr>
            <w:r>
              <w:rPr>
                <w:b/>
                <w:color w:val="000000"/>
                <w:sz w:val="20"/>
                <w:szCs w:val="20"/>
              </w:rPr>
              <w:t>Haber</w:t>
            </w:r>
          </w:p>
        </w:tc>
      </w:tr>
      <w:tr w:rsidR="00CB252E" w14:paraId="77BC0959" w14:textId="77777777">
        <w:trPr>
          <w:trHeight w:val="261"/>
          <w:jc w:val="center"/>
        </w:trPr>
        <w:tc>
          <w:tcPr>
            <w:tcW w:w="1793" w:type="dxa"/>
            <w:tcBorders>
              <w:top w:val="nil"/>
              <w:left w:val="single" w:sz="4" w:space="0" w:color="000000"/>
              <w:bottom w:val="single" w:sz="4" w:space="0" w:color="000000"/>
              <w:right w:val="single" w:sz="4" w:space="0" w:color="000000"/>
            </w:tcBorders>
            <w:vAlign w:val="center"/>
          </w:tcPr>
          <w:p w14:paraId="00000058" w14:textId="7D4F05C8" w:rsidR="00CB252E" w:rsidRDefault="00000000">
            <w:pPr>
              <w:spacing w:before="240"/>
              <w:ind w:left="2" w:hanging="2"/>
              <w:jc w:val="center"/>
              <w:rPr>
                <w:color w:val="000000"/>
                <w:sz w:val="20"/>
                <w:szCs w:val="20"/>
              </w:rPr>
            </w:pPr>
            <w:r>
              <w:rPr>
                <w:color w:val="000000"/>
                <w:sz w:val="20"/>
                <w:szCs w:val="20"/>
              </w:rPr>
              <w:t>Propiedad Industrial</w:t>
            </w:r>
            <w:r w:rsidR="00B96D10">
              <w:rPr>
                <w:color w:val="000000"/>
                <w:sz w:val="20"/>
                <w:szCs w:val="20"/>
              </w:rPr>
              <w:t xml:space="preserve"> -</w:t>
            </w:r>
            <w:r>
              <w:rPr>
                <w:color w:val="000000"/>
                <w:sz w:val="20"/>
                <w:szCs w:val="20"/>
              </w:rPr>
              <w:t xml:space="preserve"> Patente</w:t>
            </w:r>
          </w:p>
        </w:tc>
        <w:tc>
          <w:tcPr>
            <w:tcW w:w="938" w:type="dxa"/>
            <w:tcBorders>
              <w:top w:val="nil"/>
              <w:left w:val="nil"/>
              <w:bottom w:val="single" w:sz="4" w:space="0" w:color="000000"/>
              <w:right w:val="single" w:sz="4" w:space="0" w:color="000000"/>
            </w:tcBorders>
            <w:vAlign w:val="center"/>
          </w:tcPr>
          <w:p w14:paraId="00000059" w14:textId="77777777" w:rsidR="00CB252E" w:rsidRDefault="00000000">
            <w:pPr>
              <w:spacing w:before="240"/>
              <w:ind w:left="2" w:hanging="2"/>
              <w:jc w:val="center"/>
              <w:rPr>
                <w:color w:val="000000"/>
                <w:sz w:val="20"/>
                <w:szCs w:val="20"/>
              </w:rPr>
            </w:pPr>
            <w:r>
              <w:rPr>
                <w:color w:val="000000"/>
                <w:sz w:val="20"/>
                <w:szCs w:val="20"/>
              </w:rPr>
              <w:t>4.500</w:t>
            </w:r>
          </w:p>
        </w:tc>
        <w:tc>
          <w:tcPr>
            <w:tcW w:w="1019" w:type="dxa"/>
            <w:tcBorders>
              <w:top w:val="nil"/>
              <w:left w:val="nil"/>
              <w:bottom w:val="single" w:sz="4" w:space="0" w:color="000000"/>
              <w:right w:val="single" w:sz="4" w:space="0" w:color="000000"/>
            </w:tcBorders>
            <w:vAlign w:val="center"/>
          </w:tcPr>
          <w:p w14:paraId="0000005A" w14:textId="77777777" w:rsidR="00CB252E" w:rsidRDefault="00CB252E">
            <w:pPr>
              <w:spacing w:before="240"/>
              <w:ind w:left="2" w:hanging="2"/>
              <w:jc w:val="center"/>
              <w:rPr>
                <w:color w:val="000000"/>
                <w:sz w:val="20"/>
                <w:szCs w:val="20"/>
              </w:rPr>
            </w:pPr>
          </w:p>
        </w:tc>
      </w:tr>
      <w:tr w:rsidR="00CB252E" w14:paraId="03BF9FE2" w14:textId="77777777">
        <w:trPr>
          <w:trHeight w:val="261"/>
          <w:jc w:val="center"/>
        </w:trPr>
        <w:tc>
          <w:tcPr>
            <w:tcW w:w="1793" w:type="dxa"/>
            <w:tcBorders>
              <w:top w:val="nil"/>
              <w:left w:val="single" w:sz="4" w:space="0" w:color="000000"/>
              <w:bottom w:val="single" w:sz="4" w:space="0" w:color="000000"/>
              <w:right w:val="single" w:sz="4" w:space="0" w:color="000000"/>
            </w:tcBorders>
            <w:vAlign w:val="center"/>
          </w:tcPr>
          <w:p w14:paraId="0000005B" w14:textId="1E9E8A5B" w:rsidR="00CB252E" w:rsidRDefault="00000000">
            <w:pPr>
              <w:spacing w:before="240"/>
              <w:ind w:left="2" w:hanging="2"/>
              <w:jc w:val="center"/>
              <w:rPr>
                <w:color w:val="000000"/>
                <w:sz w:val="20"/>
                <w:szCs w:val="20"/>
              </w:rPr>
            </w:pPr>
            <w:r>
              <w:rPr>
                <w:color w:val="000000"/>
                <w:sz w:val="20"/>
                <w:szCs w:val="20"/>
              </w:rPr>
              <w:t>Propiedad Industrial</w:t>
            </w:r>
            <w:r w:rsidR="00B96D10">
              <w:rPr>
                <w:color w:val="000000"/>
                <w:sz w:val="20"/>
                <w:szCs w:val="20"/>
              </w:rPr>
              <w:t xml:space="preserve"> -</w:t>
            </w:r>
            <w:r>
              <w:rPr>
                <w:color w:val="000000"/>
                <w:sz w:val="20"/>
                <w:szCs w:val="20"/>
              </w:rPr>
              <w:t xml:space="preserve"> </w:t>
            </w:r>
            <w:r w:rsidR="00B96D10">
              <w:rPr>
                <w:color w:val="000000"/>
                <w:sz w:val="20"/>
                <w:szCs w:val="20"/>
              </w:rPr>
              <w:t>Marca</w:t>
            </w:r>
          </w:p>
        </w:tc>
        <w:tc>
          <w:tcPr>
            <w:tcW w:w="938" w:type="dxa"/>
            <w:tcBorders>
              <w:top w:val="nil"/>
              <w:left w:val="nil"/>
              <w:bottom w:val="single" w:sz="4" w:space="0" w:color="000000"/>
              <w:right w:val="single" w:sz="4" w:space="0" w:color="000000"/>
            </w:tcBorders>
            <w:vAlign w:val="center"/>
          </w:tcPr>
          <w:p w14:paraId="0000005C" w14:textId="77777777" w:rsidR="00CB252E" w:rsidRDefault="00000000">
            <w:pPr>
              <w:spacing w:before="240"/>
              <w:ind w:left="2" w:hanging="2"/>
              <w:jc w:val="center"/>
              <w:rPr>
                <w:color w:val="000000"/>
                <w:sz w:val="20"/>
                <w:szCs w:val="20"/>
              </w:rPr>
            </w:pPr>
            <w:r>
              <w:rPr>
                <w:color w:val="000000"/>
                <w:sz w:val="20"/>
                <w:szCs w:val="20"/>
              </w:rPr>
              <w:t>2.500</w:t>
            </w:r>
          </w:p>
        </w:tc>
        <w:tc>
          <w:tcPr>
            <w:tcW w:w="1019" w:type="dxa"/>
            <w:tcBorders>
              <w:top w:val="nil"/>
              <w:left w:val="nil"/>
              <w:bottom w:val="single" w:sz="4" w:space="0" w:color="000000"/>
              <w:right w:val="single" w:sz="4" w:space="0" w:color="000000"/>
            </w:tcBorders>
            <w:vAlign w:val="center"/>
          </w:tcPr>
          <w:p w14:paraId="0000005D" w14:textId="77777777" w:rsidR="00CB252E" w:rsidRDefault="00CB252E">
            <w:pPr>
              <w:spacing w:before="240"/>
              <w:ind w:left="2" w:hanging="2"/>
              <w:jc w:val="center"/>
              <w:rPr>
                <w:color w:val="000000"/>
                <w:sz w:val="20"/>
                <w:szCs w:val="20"/>
              </w:rPr>
            </w:pPr>
          </w:p>
        </w:tc>
      </w:tr>
      <w:tr w:rsidR="00CB252E" w14:paraId="69656103" w14:textId="77777777">
        <w:trPr>
          <w:trHeight w:val="261"/>
          <w:jc w:val="center"/>
        </w:trPr>
        <w:tc>
          <w:tcPr>
            <w:tcW w:w="1793" w:type="dxa"/>
            <w:tcBorders>
              <w:top w:val="nil"/>
              <w:left w:val="single" w:sz="4" w:space="0" w:color="000000"/>
              <w:bottom w:val="single" w:sz="4" w:space="0" w:color="000000"/>
              <w:right w:val="single" w:sz="4" w:space="0" w:color="000000"/>
            </w:tcBorders>
            <w:vAlign w:val="center"/>
          </w:tcPr>
          <w:p w14:paraId="0000005E" w14:textId="77777777" w:rsidR="00CB252E" w:rsidRDefault="00000000">
            <w:pPr>
              <w:spacing w:before="240"/>
              <w:ind w:left="2" w:hanging="2"/>
              <w:jc w:val="center"/>
              <w:rPr>
                <w:color w:val="000000"/>
                <w:sz w:val="20"/>
                <w:szCs w:val="20"/>
              </w:rPr>
            </w:pPr>
            <w:r>
              <w:rPr>
                <w:color w:val="000000"/>
                <w:sz w:val="20"/>
                <w:szCs w:val="20"/>
              </w:rPr>
              <w:t>Costos y Gastos por pagar</w:t>
            </w:r>
          </w:p>
        </w:tc>
        <w:tc>
          <w:tcPr>
            <w:tcW w:w="938" w:type="dxa"/>
            <w:tcBorders>
              <w:top w:val="nil"/>
              <w:left w:val="nil"/>
              <w:bottom w:val="single" w:sz="4" w:space="0" w:color="000000"/>
              <w:right w:val="single" w:sz="4" w:space="0" w:color="000000"/>
            </w:tcBorders>
            <w:vAlign w:val="center"/>
          </w:tcPr>
          <w:p w14:paraId="0000005F" w14:textId="77777777" w:rsidR="00CB252E" w:rsidRDefault="00CB252E">
            <w:pPr>
              <w:spacing w:before="240"/>
              <w:ind w:left="2" w:hanging="2"/>
              <w:jc w:val="center"/>
              <w:rPr>
                <w:color w:val="000000"/>
                <w:sz w:val="20"/>
                <w:szCs w:val="20"/>
              </w:rPr>
            </w:pPr>
          </w:p>
        </w:tc>
        <w:tc>
          <w:tcPr>
            <w:tcW w:w="1019" w:type="dxa"/>
            <w:tcBorders>
              <w:top w:val="nil"/>
              <w:left w:val="nil"/>
              <w:bottom w:val="single" w:sz="4" w:space="0" w:color="000000"/>
              <w:right w:val="single" w:sz="4" w:space="0" w:color="000000"/>
            </w:tcBorders>
            <w:vAlign w:val="center"/>
          </w:tcPr>
          <w:p w14:paraId="00000060" w14:textId="77777777" w:rsidR="00CB252E" w:rsidRDefault="00000000">
            <w:pPr>
              <w:spacing w:before="240"/>
              <w:ind w:left="2" w:hanging="2"/>
              <w:jc w:val="center"/>
              <w:rPr>
                <w:color w:val="000000"/>
                <w:sz w:val="20"/>
                <w:szCs w:val="20"/>
              </w:rPr>
            </w:pPr>
            <w:r>
              <w:rPr>
                <w:color w:val="000000"/>
                <w:sz w:val="20"/>
                <w:szCs w:val="20"/>
              </w:rPr>
              <w:t>7.000.0</w:t>
            </w:r>
          </w:p>
        </w:tc>
      </w:tr>
    </w:tbl>
    <w:p w14:paraId="00000061" w14:textId="77777777" w:rsidR="00CB252E" w:rsidRDefault="00CB252E">
      <w:pPr>
        <w:shd w:val="clear" w:color="auto" w:fill="FFFFFF"/>
        <w:spacing w:before="240"/>
        <w:ind w:left="2" w:hanging="2"/>
        <w:jc w:val="center"/>
        <w:rPr>
          <w:b/>
          <w:color w:val="000000"/>
          <w:sz w:val="20"/>
          <w:szCs w:val="20"/>
        </w:rPr>
      </w:pPr>
    </w:p>
    <w:p w14:paraId="00000062" w14:textId="77777777" w:rsidR="00CB252E" w:rsidRDefault="00CB252E">
      <w:pPr>
        <w:shd w:val="clear" w:color="auto" w:fill="FFFFFF"/>
        <w:spacing w:before="240"/>
        <w:ind w:left="2" w:hanging="2"/>
        <w:jc w:val="center"/>
        <w:rPr>
          <w:b/>
          <w:color w:val="000000"/>
          <w:sz w:val="20"/>
          <w:szCs w:val="20"/>
        </w:rPr>
      </w:pPr>
    </w:p>
    <w:p w14:paraId="00000063" w14:textId="77777777" w:rsidR="00CB252E" w:rsidRDefault="00000000">
      <w:pPr>
        <w:shd w:val="clear" w:color="auto" w:fill="FFFFFF"/>
        <w:spacing w:before="240"/>
        <w:ind w:left="2" w:hanging="2"/>
        <w:jc w:val="center"/>
        <w:rPr>
          <w:b/>
          <w:color w:val="000000"/>
          <w:sz w:val="20"/>
          <w:szCs w:val="20"/>
        </w:rPr>
      </w:pPr>
      <w:r>
        <w:rPr>
          <w:b/>
          <w:color w:val="000000"/>
          <w:sz w:val="20"/>
          <w:szCs w:val="20"/>
        </w:rPr>
        <w:t>Pago</w:t>
      </w:r>
    </w:p>
    <w:tbl>
      <w:tblPr>
        <w:tblStyle w:val="af0"/>
        <w:tblW w:w="3750" w:type="dxa"/>
        <w:jc w:val="center"/>
        <w:tblInd w:w="0" w:type="dxa"/>
        <w:tblLayout w:type="fixed"/>
        <w:tblLook w:val="0400" w:firstRow="0" w:lastRow="0" w:firstColumn="0" w:lastColumn="0" w:noHBand="0" w:noVBand="1"/>
      </w:tblPr>
      <w:tblGrid>
        <w:gridCol w:w="1980"/>
        <w:gridCol w:w="905"/>
        <w:gridCol w:w="865"/>
      </w:tblGrid>
      <w:tr w:rsidR="00CB252E" w14:paraId="7147ADF7" w14:textId="77777777">
        <w:trPr>
          <w:trHeight w:val="262"/>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F2F2F2"/>
          </w:tcPr>
          <w:p w14:paraId="00000064" w14:textId="77777777" w:rsidR="00CB252E" w:rsidRDefault="00000000">
            <w:pPr>
              <w:spacing w:before="240"/>
              <w:ind w:left="2" w:hanging="2"/>
              <w:jc w:val="center"/>
              <w:rPr>
                <w:color w:val="000000"/>
                <w:sz w:val="20"/>
                <w:szCs w:val="20"/>
              </w:rPr>
            </w:pPr>
            <w:r>
              <w:rPr>
                <w:b/>
                <w:color w:val="000000"/>
                <w:sz w:val="20"/>
                <w:szCs w:val="20"/>
              </w:rPr>
              <w:t>Cuenta</w:t>
            </w:r>
          </w:p>
        </w:tc>
        <w:tc>
          <w:tcPr>
            <w:tcW w:w="905" w:type="dxa"/>
            <w:tcBorders>
              <w:top w:val="single" w:sz="4" w:space="0" w:color="000000"/>
              <w:left w:val="nil"/>
              <w:bottom w:val="single" w:sz="4" w:space="0" w:color="000000"/>
              <w:right w:val="single" w:sz="4" w:space="0" w:color="000000"/>
            </w:tcBorders>
            <w:shd w:val="clear" w:color="auto" w:fill="F2F2F2"/>
          </w:tcPr>
          <w:p w14:paraId="00000065" w14:textId="77777777" w:rsidR="00CB252E" w:rsidRDefault="00000000">
            <w:pPr>
              <w:spacing w:before="240"/>
              <w:ind w:left="2" w:hanging="2"/>
              <w:jc w:val="center"/>
              <w:rPr>
                <w:color w:val="000000"/>
                <w:sz w:val="20"/>
                <w:szCs w:val="20"/>
              </w:rPr>
            </w:pPr>
            <w:r>
              <w:rPr>
                <w:b/>
                <w:color w:val="000000"/>
                <w:sz w:val="20"/>
                <w:szCs w:val="20"/>
              </w:rPr>
              <w:t>Debe</w:t>
            </w:r>
          </w:p>
        </w:tc>
        <w:tc>
          <w:tcPr>
            <w:tcW w:w="865" w:type="dxa"/>
            <w:tcBorders>
              <w:top w:val="single" w:sz="4" w:space="0" w:color="000000"/>
              <w:left w:val="nil"/>
              <w:bottom w:val="single" w:sz="4" w:space="0" w:color="000000"/>
              <w:right w:val="single" w:sz="4" w:space="0" w:color="000000"/>
            </w:tcBorders>
            <w:shd w:val="clear" w:color="auto" w:fill="F2F2F2"/>
          </w:tcPr>
          <w:p w14:paraId="00000066" w14:textId="77777777" w:rsidR="00CB252E" w:rsidRDefault="00000000">
            <w:pPr>
              <w:spacing w:before="240"/>
              <w:ind w:left="2" w:hanging="2"/>
              <w:jc w:val="center"/>
              <w:rPr>
                <w:color w:val="000000"/>
                <w:sz w:val="20"/>
                <w:szCs w:val="20"/>
              </w:rPr>
            </w:pPr>
            <w:r>
              <w:rPr>
                <w:b/>
                <w:color w:val="000000"/>
                <w:sz w:val="20"/>
                <w:szCs w:val="20"/>
              </w:rPr>
              <w:t>Haber</w:t>
            </w:r>
          </w:p>
        </w:tc>
      </w:tr>
      <w:tr w:rsidR="00CB252E" w14:paraId="65E9E2ED" w14:textId="77777777">
        <w:trPr>
          <w:trHeight w:val="262"/>
          <w:jc w:val="center"/>
        </w:trPr>
        <w:tc>
          <w:tcPr>
            <w:tcW w:w="1980" w:type="dxa"/>
            <w:tcBorders>
              <w:top w:val="nil"/>
              <w:left w:val="single" w:sz="4" w:space="0" w:color="000000"/>
              <w:bottom w:val="single" w:sz="4" w:space="0" w:color="000000"/>
              <w:right w:val="single" w:sz="4" w:space="0" w:color="000000"/>
            </w:tcBorders>
          </w:tcPr>
          <w:p w14:paraId="00000067" w14:textId="77777777" w:rsidR="00CB252E" w:rsidRDefault="00000000">
            <w:pPr>
              <w:spacing w:before="240"/>
              <w:ind w:left="2" w:hanging="2"/>
              <w:jc w:val="center"/>
              <w:rPr>
                <w:color w:val="000000"/>
                <w:sz w:val="20"/>
                <w:szCs w:val="20"/>
              </w:rPr>
            </w:pPr>
            <w:r>
              <w:rPr>
                <w:color w:val="000000"/>
                <w:sz w:val="20"/>
                <w:szCs w:val="20"/>
              </w:rPr>
              <w:t>Costos y Gastos por pagar</w:t>
            </w:r>
          </w:p>
        </w:tc>
        <w:tc>
          <w:tcPr>
            <w:tcW w:w="905" w:type="dxa"/>
            <w:tcBorders>
              <w:top w:val="nil"/>
              <w:left w:val="nil"/>
              <w:bottom w:val="single" w:sz="4" w:space="0" w:color="000000"/>
              <w:right w:val="single" w:sz="4" w:space="0" w:color="000000"/>
            </w:tcBorders>
          </w:tcPr>
          <w:p w14:paraId="00000068" w14:textId="77777777" w:rsidR="00CB252E" w:rsidRDefault="00000000">
            <w:pPr>
              <w:spacing w:before="240"/>
              <w:ind w:left="2" w:hanging="2"/>
              <w:rPr>
                <w:color w:val="000000"/>
                <w:sz w:val="20"/>
                <w:szCs w:val="20"/>
              </w:rPr>
            </w:pPr>
            <w:r>
              <w:rPr>
                <w:color w:val="000000"/>
                <w:sz w:val="20"/>
                <w:szCs w:val="20"/>
              </w:rPr>
              <w:t>7.000</w:t>
            </w:r>
          </w:p>
        </w:tc>
        <w:tc>
          <w:tcPr>
            <w:tcW w:w="865" w:type="dxa"/>
            <w:tcBorders>
              <w:top w:val="nil"/>
              <w:left w:val="nil"/>
              <w:bottom w:val="single" w:sz="4" w:space="0" w:color="000000"/>
              <w:right w:val="single" w:sz="4" w:space="0" w:color="000000"/>
            </w:tcBorders>
          </w:tcPr>
          <w:p w14:paraId="00000069" w14:textId="77777777" w:rsidR="00CB252E" w:rsidRDefault="00CB252E">
            <w:pPr>
              <w:spacing w:before="240"/>
              <w:ind w:left="2" w:hanging="2"/>
              <w:rPr>
                <w:color w:val="000000"/>
                <w:sz w:val="20"/>
                <w:szCs w:val="20"/>
              </w:rPr>
            </w:pPr>
          </w:p>
        </w:tc>
      </w:tr>
      <w:tr w:rsidR="00CB252E" w14:paraId="58B38439" w14:textId="77777777">
        <w:trPr>
          <w:trHeight w:val="262"/>
          <w:jc w:val="center"/>
        </w:trPr>
        <w:tc>
          <w:tcPr>
            <w:tcW w:w="1980" w:type="dxa"/>
            <w:tcBorders>
              <w:top w:val="nil"/>
              <w:left w:val="single" w:sz="4" w:space="0" w:color="000000"/>
              <w:bottom w:val="single" w:sz="4" w:space="0" w:color="000000"/>
              <w:right w:val="single" w:sz="4" w:space="0" w:color="000000"/>
            </w:tcBorders>
          </w:tcPr>
          <w:p w14:paraId="0000006A" w14:textId="77777777" w:rsidR="00CB252E" w:rsidRDefault="00000000">
            <w:pPr>
              <w:spacing w:before="240"/>
              <w:ind w:left="2" w:hanging="2"/>
              <w:jc w:val="center"/>
              <w:rPr>
                <w:color w:val="000000"/>
                <w:sz w:val="20"/>
                <w:szCs w:val="20"/>
              </w:rPr>
            </w:pPr>
            <w:r>
              <w:rPr>
                <w:color w:val="000000"/>
                <w:sz w:val="20"/>
                <w:szCs w:val="20"/>
              </w:rPr>
              <w:t>Efectivo y Equivalentes a Efectivo- Bancos</w:t>
            </w:r>
          </w:p>
        </w:tc>
        <w:tc>
          <w:tcPr>
            <w:tcW w:w="905" w:type="dxa"/>
            <w:tcBorders>
              <w:top w:val="nil"/>
              <w:left w:val="nil"/>
              <w:bottom w:val="single" w:sz="4" w:space="0" w:color="000000"/>
              <w:right w:val="single" w:sz="4" w:space="0" w:color="000000"/>
            </w:tcBorders>
          </w:tcPr>
          <w:p w14:paraId="0000006B" w14:textId="77777777" w:rsidR="00CB252E" w:rsidRDefault="00CB252E">
            <w:pPr>
              <w:spacing w:before="240"/>
              <w:ind w:left="2" w:hanging="2"/>
              <w:rPr>
                <w:color w:val="000000"/>
                <w:sz w:val="20"/>
                <w:szCs w:val="20"/>
              </w:rPr>
            </w:pPr>
          </w:p>
        </w:tc>
        <w:tc>
          <w:tcPr>
            <w:tcW w:w="865" w:type="dxa"/>
            <w:tcBorders>
              <w:top w:val="nil"/>
              <w:left w:val="nil"/>
              <w:bottom w:val="single" w:sz="4" w:space="0" w:color="000000"/>
              <w:right w:val="single" w:sz="4" w:space="0" w:color="000000"/>
            </w:tcBorders>
          </w:tcPr>
          <w:p w14:paraId="0000006C" w14:textId="77777777" w:rsidR="00CB252E" w:rsidRDefault="00000000">
            <w:pPr>
              <w:spacing w:before="240"/>
              <w:ind w:left="2" w:hanging="2"/>
              <w:rPr>
                <w:color w:val="000000"/>
                <w:sz w:val="20"/>
                <w:szCs w:val="20"/>
              </w:rPr>
            </w:pPr>
            <w:r>
              <w:rPr>
                <w:color w:val="000000"/>
                <w:sz w:val="20"/>
                <w:szCs w:val="20"/>
              </w:rPr>
              <w:t>7.000</w:t>
            </w:r>
          </w:p>
        </w:tc>
      </w:tr>
    </w:tbl>
    <w:p w14:paraId="0000006D" w14:textId="77777777" w:rsidR="00CB252E" w:rsidRDefault="00CB252E">
      <w:pPr>
        <w:shd w:val="clear" w:color="auto" w:fill="FFFFFF"/>
        <w:spacing w:before="240"/>
        <w:ind w:left="2" w:hanging="2"/>
        <w:jc w:val="both"/>
        <w:rPr>
          <w:sz w:val="20"/>
          <w:szCs w:val="20"/>
        </w:rPr>
      </w:pPr>
    </w:p>
    <w:p w14:paraId="0000006E" w14:textId="77777777" w:rsidR="00CB252E" w:rsidRDefault="00000000">
      <w:pPr>
        <w:shd w:val="clear" w:color="auto" w:fill="FFFFFF"/>
        <w:spacing w:before="240"/>
        <w:ind w:left="2" w:hanging="2"/>
        <w:jc w:val="both"/>
        <w:rPr>
          <w:sz w:val="20"/>
          <w:szCs w:val="20"/>
        </w:rPr>
      </w:pPr>
      <w:r>
        <w:rPr>
          <w:sz w:val="20"/>
          <w:szCs w:val="20"/>
        </w:rPr>
        <w:t>2. Diciembre 31 del año  20X1, se registra la amortización del activo con vida útil definida</w:t>
      </w:r>
    </w:p>
    <w:p w14:paraId="0000006F" w14:textId="77777777" w:rsidR="00CB252E" w:rsidRDefault="00000000">
      <w:pPr>
        <w:shd w:val="clear" w:color="auto" w:fill="FFFFFF"/>
        <w:spacing w:before="240"/>
        <w:ind w:left="2" w:hanging="2"/>
        <w:jc w:val="center"/>
        <w:rPr>
          <w:b/>
          <w:color w:val="000000"/>
          <w:sz w:val="20"/>
          <w:szCs w:val="20"/>
        </w:rPr>
      </w:pPr>
      <w:r>
        <w:rPr>
          <w:b/>
          <w:color w:val="000000"/>
          <w:sz w:val="20"/>
          <w:szCs w:val="20"/>
        </w:rPr>
        <w:t>Amortización Intangible</w:t>
      </w:r>
    </w:p>
    <w:tbl>
      <w:tblPr>
        <w:tblStyle w:val="af1"/>
        <w:tblW w:w="5026" w:type="dxa"/>
        <w:jc w:val="center"/>
        <w:tblInd w:w="0" w:type="dxa"/>
        <w:tblLayout w:type="fixed"/>
        <w:tblLook w:val="0400" w:firstRow="0" w:lastRow="0" w:firstColumn="0" w:lastColumn="0" w:noHBand="0" w:noVBand="1"/>
      </w:tblPr>
      <w:tblGrid>
        <w:gridCol w:w="3272"/>
        <w:gridCol w:w="902"/>
        <w:gridCol w:w="852"/>
      </w:tblGrid>
      <w:tr w:rsidR="00CB252E" w14:paraId="79E46EA6" w14:textId="77777777">
        <w:trPr>
          <w:trHeight w:val="257"/>
          <w:jc w:val="center"/>
        </w:trPr>
        <w:tc>
          <w:tcPr>
            <w:tcW w:w="3272" w:type="dxa"/>
            <w:tcBorders>
              <w:top w:val="single" w:sz="4" w:space="0" w:color="000000"/>
              <w:left w:val="single" w:sz="4" w:space="0" w:color="000000"/>
              <w:bottom w:val="single" w:sz="4" w:space="0" w:color="000000"/>
              <w:right w:val="single" w:sz="4" w:space="0" w:color="000000"/>
            </w:tcBorders>
            <w:shd w:val="clear" w:color="auto" w:fill="F2F2F2"/>
          </w:tcPr>
          <w:p w14:paraId="00000070" w14:textId="77777777" w:rsidR="00CB252E" w:rsidRDefault="00000000">
            <w:pPr>
              <w:spacing w:before="240"/>
              <w:ind w:left="2" w:hanging="2"/>
              <w:jc w:val="center"/>
              <w:rPr>
                <w:color w:val="000000"/>
                <w:sz w:val="20"/>
                <w:szCs w:val="20"/>
              </w:rPr>
            </w:pPr>
            <w:r>
              <w:rPr>
                <w:b/>
                <w:color w:val="000000"/>
                <w:sz w:val="20"/>
                <w:szCs w:val="20"/>
              </w:rPr>
              <w:t>Cuenta</w:t>
            </w:r>
          </w:p>
        </w:tc>
        <w:tc>
          <w:tcPr>
            <w:tcW w:w="902" w:type="dxa"/>
            <w:tcBorders>
              <w:top w:val="single" w:sz="4" w:space="0" w:color="000000"/>
              <w:left w:val="nil"/>
              <w:bottom w:val="single" w:sz="4" w:space="0" w:color="000000"/>
              <w:right w:val="single" w:sz="4" w:space="0" w:color="000000"/>
            </w:tcBorders>
            <w:shd w:val="clear" w:color="auto" w:fill="F2F2F2"/>
          </w:tcPr>
          <w:p w14:paraId="00000071" w14:textId="77777777" w:rsidR="00CB252E" w:rsidRDefault="00000000">
            <w:pPr>
              <w:spacing w:before="240"/>
              <w:ind w:left="2" w:hanging="2"/>
              <w:jc w:val="center"/>
              <w:rPr>
                <w:color w:val="000000"/>
                <w:sz w:val="20"/>
                <w:szCs w:val="20"/>
              </w:rPr>
            </w:pPr>
            <w:r>
              <w:rPr>
                <w:b/>
                <w:color w:val="000000"/>
                <w:sz w:val="20"/>
                <w:szCs w:val="20"/>
              </w:rPr>
              <w:t>Debe</w:t>
            </w:r>
          </w:p>
        </w:tc>
        <w:tc>
          <w:tcPr>
            <w:tcW w:w="852" w:type="dxa"/>
            <w:tcBorders>
              <w:top w:val="single" w:sz="4" w:space="0" w:color="000000"/>
              <w:left w:val="nil"/>
              <w:bottom w:val="single" w:sz="4" w:space="0" w:color="000000"/>
              <w:right w:val="single" w:sz="4" w:space="0" w:color="000000"/>
            </w:tcBorders>
            <w:shd w:val="clear" w:color="auto" w:fill="F2F2F2"/>
          </w:tcPr>
          <w:p w14:paraId="00000072" w14:textId="77777777" w:rsidR="00CB252E" w:rsidRDefault="00000000">
            <w:pPr>
              <w:spacing w:before="240"/>
              <w:ind w:left="2" w:hanging="2"/>
              <w:jc w:val="center"/>
              <w:rPr>
                <w:color w:val="000000"/>
                <w:sz w:val="20"/>
                <w:szCs w:val="20"/>
              </w:rPr>
            </w:pPr>
            <w:r>
              <w:rPr>
                <w:b/>
                <w:color w:val="000000"/>
                <w:sz w:val="20"/>
                <w:szCs w:val="20"/>
              </w:rPr>
              <w:t>Haber</w:t>
            </w:r>
          </w:p>
        </w:tc>
      </w:tr>
      <w:tr w:rsidR="00CB252E" w14:paraId="4B75BE61" w14:textId="77777777">
        <w:trPr>
          <w:trHeight w:val="611"/>
          <w:jc w:val="center"/>
        </w:trPr>
        <w:tc>
          <w:tcPr>
            <w:tcW w:w="3272" w:type="dxa"/>
            <w:tcBorders>
              <w:top w:val="nil"/>
              <w:left w:val="single" w:sz="4" w:space="0" w:color="000000"/>
              <w:bottom w:val="single" w:sz="4" w:space="0" w:color="000000"/>
              <w:right w:val="single" w:sz="4" w:space="0" w:color="000000"/>
            </w:tcBorders>
          </w:tcPr>
          <w:p w14:paraId="00000073" w14:textId="77777777" w:rsidR="00CB252E" w:rsidRDefault="00000000">
            <w:pPr>
              <w:spacing w:before="240"/>
              <w:ind w:left="2" w:hanging="2"/>
              <w:jc w:val="center"/>
              <w:rPr>
                <w:color w:val="000000"/>
                <w:sz w:val="20"/>
                <w:szCs w:val="20"/>
              </w:rPr>
            </w:pPr>
            <w:r>
              <w:rPr>
                <w:color w:val="000000"/>
                <w:sz w:val="20"/>
                <w:szCs w:val="20"/>
              </w:rPr>
              <w:t>Gastos Amortización Propiedad Industrial Patente(4500/4)</w:t>
            </w:r>
          </w:p>
        </w:tc>
        <w:tc>
          <w:tcPr>
            <w:tcW w:w="902" w:type="dxa"/>
            <w:tcBorders>
              <w:top w:val="nil"/>
              <w:left w:val="nil"/>
              <w:bottom w:val="single" w:sz="4" w:space="0" w:color="000000"/>
              <w:right w:val="single" w:sz="4" w:space="0" w:color="000000"/>
            </w:tcBorders>
          </w:tcPr>
          <w:p w14:paraId="00000074" w14:textId="77777777" w:rsidR="00CB252E" w:rsidRDefault="00000000">
            <w:pPr>
              <w:spacing w:before="240"/>
              <w:ind w:left="2" w:hanging="2"/>
              <w:rPr>
                <w:color w:val="000000"/>
                <w:sz w:val="20"/>
                <w:szCs w:val="20"/>
              </w:rPr>
            </w:pPr>
            <w:r>
              <w:rPr>
                <w:color w:val="000000"/>
                <w:sz w:val="20"/>
                <w:szCs w:val="20"/>
              </w:rPr>
              <w:t xml:space="preserve"> 1.125 </w:t>
            </w:r>
          </w:p>
        </w:tc>
        <w:tc>
          <w:tcPr>
            <w:tcW w:w="852" w:type="dxa"/>
            <w:tcBorders>
              <w:top w:val="nil"/>
              <w:left w:val="nil"/>
              <w:bottom w:val="single" w:sz="4" w:space="0" w:color="000000"/>
              <w:right w:val="single" w:sz="4" w:space="0" w:color="000000"/>
            </w:tcBorders>
          </w:tcPr>
          <w:p w14:paraId="00000075" w14:textId="77777777" w:rsidR="00CB252E" w:rsidRDefault="00000000">
            <w:pPr>
              <w:spacing w:before="240"/>
              <w:ind w:left="2" w:hanging="2"/>
              <w:rPr>
                <w:color w:val="000000"/>
                <w:sz w:val="20"/>
                <w:szCs w:val="20"/>
              </w:rPr>
            </w:pPr>
            <w:r>
              <w:rPr>
                <w:color w:val="000000"/>
                <w:sz w:val="20"/>
                <w:szCs w:val="20"/>
              </w:rPr>
              <w:t> </w:t>
            </w:r>
          </w:p>
        </w:tc>
      </w:tr>
      <w:tr w:rsidR="00CB252E" w14:paraId="7F15749D" w14:textId="77777777">
        <w:trPr>
          <w:trHeight w:val="397"/>
          <w:jc w:val="center"/>
        </w:trPr>
        <w:tc>
          <w:tcPr>
            <w:tcW w:w="3272" w:type="dxa"/>
            <w:tcBorders>
              <w:top w:val="nil"/>
              <w:left w:val="single" w:sz="4" w:space="0" w:color="000000"/>
              <w:bottom w:val="single" w:sz="4" w:space="0" w:color="000000"/>
              <w:right w:val="single" w:sz="4" w:space="0" w:color="000000"/>
            </w:tcBorders>
            <w:vAlign w:val="center"/>
          </w:tcPr>
          <w:p w14:paraId="00000076" w14:textId="77777777" w:rsidR="00CB252E" w:rsidRDefault="00000000">
            <w:pPr>
              <w:spacing w:before="240"/>
              <w:ind w:left="2" w:hanging="2"/>
              <w:jc w:val="center"/>
              <w:rPr>
                <w:color w:val="000000"/>
                <w:sz w:val="20"/>
                <w:szCs w:val="20"/>
              </w:rPr>
            </w:pPr>
            <w:r>
              <w:rPr>
                <w:color w:val="000000"/>
                <w:sz w:val="20"/>
                <w:szCs w:val="20"/>
              </w:rPr>
              <w:t>Efectivo y Equivalentes a Efectivo</w:t>
            </w:r>
          </w:p>
        </w:tc>
        <w:tc>
          <w:tcPr>
            <w:tcW w:w="902" w:type="dxa"/>
            <w:tcBorders>
              <w:top w:val="nil"/>
              <w:left w:val="nil"/>
              <w:bottom w:val="single" w:sz="4" w:space="0" w:color="000000"/>
              <w:right w:val="single" w:sz="4" w:space="0" w:color="000000"/>
            </w:tcBorders>
          </w:tcPr>
          <w:p w14:paraId="00000077" w14:textId="77777777" w:rsidR="00CB252E" w:rsidRDefault="00000000">
            <w:pPr>
              <w:spacing w:before="240"/>
              <w:ind w:left="2" w:hanging="2"/>
              <w:rPr>
                <w:color w:val="000000"/>
                <w:sz w:val="20"/>
                <w:szCs w:val="20"/>
              </w:rPr>
            </w:pPr>
            <w:r>
              <w:rPr>
                <w:color w:val="000000"/>
                <w:sz w:val="20"/>
                <w:szCs w:val="20"/>
              </w:rPr>
              <w:t> </w:t>
            </w:r>
          </w:p>
        </w:tc>
        <w:tc>
          <w:tcPr>
            <w:tcW w:w="852" w:type="dxa"/>
            <w:tcBorders>
              <w:top w:val="nil"/>
              <w:left w:val="nil"/>
              <w:bottom w:val="single" w:sz="4" w:space="0" w:color="000000"/>
              <w:right w:val="single" w:sz="4" w:space="0" w:color="000000"/>
            </w:tcBorders>
          </w:tcPr>
          <w:p w14:paraId="00000078" w14:textId="77777777" w:rsidR="00CB252E" w:rsidRDefault="00000000">
            <w:pPr>
              <w:spacing w:before="240"/>
              <w:ind w:left="2" w:hanging="2"/>
              <w:rPr>
                <w:color w:val="000000"/>
                <w:sz w:val="20"/>
                <w:szCs w:val="20"/>
              </w:rPr>
            </w:pPr>
            <w:r>
              <w:rPr>
                <w:color w:val="000000"/>
                <w:sz w:val="20"/>
                <w:szCs w:val="20"/>
              </w:rPr>
              <w:t xml:space="preserve"> 1.125 </w:t>
            </w:r>
          </w:p>
        </w:tc>
      </w:tr>
    </w:tbl>
    <w:p w14:paraId="00000079" w14:textId="77777777" w:rsidR="00CB252E" w:rsidRDefault="00000000">
      <w:pPr>
        <w:shd w:val="clear" w:color="auto" w:fill="FFFFFF"/>
        <w:spacing w:before="240"/>
        <w:ind w:left="2" w:hanging="2"/>
        <w:jc w:val="both"/>
        <w:rPr>
          <w:sz w:val="20"/>
          <w:szCs w:val="20"/>
        </w:rPr>
      </w:pPr>
      <w:r>
        <w:rPr>
          <w:b/>
          <w:sz w:val="20"/>
          <w:szCs w:val="20"/>
        </w:rPr>
        <w:t>Nota</w:t>
      </w:r>
      <w:r>
        <w:rPr>
          <w:sz w:val="20"/>
          <w:szCs w:val="20"/>
        </w:rPr>
        <w:t>: de la misma forma aplica para el año 20X2 y sucesivos.</w:t>
      </w:r>
    </w:p>
    <w:p w14:paraId="0000007A" w14:textId="77777777" w:rsidR="00CB252E" w:rsidRDefault="00000000">
      <w:pPr>
        <w:shd w:val="clear" w:color="auto" w:fill="FFFFFF"/>
        <w:spacing w:before="240"/>
        <w:ind w:left="2" w:hanging="2"/>
        <w:jc w:val="both"/>
        <w:rPr>
          <w:sz w:val="20"/>
          <w:szCs w:val="20"/>
        </w:rPr>
      </w:pPr>
      <w:r>
        <w:rPr>
          <w:sz w:val="20"/>
          <w:szCs w:val="20"/>
        </w:rPr>
        <w:t>3.A 1 de enero del año 20X3, se registra el deterioro que ha sufrido la marca correspondiente al 30% .</w:t>
      </w:r>
    </w:p>
    <w:p w14:paraId="0000007B" w14:textId="77777777" w:rsidR="00CB252E" w:rsidRDefault="00000000">
      <w:pPr>
        <w:spacing w:before="240"/>
        <w:ind w:left="2" w:hanging="2"/>
        <w:jc w:val="center"/>
        <w:rPr>
          <w:b/>
          <w:color w:val="000000"/>
          <w:sz w:val="20"/>
          <w:szCs w:val="20"/>
        </w:rPr>
      </w:pPr>
      <w:r>
        <w:rPr>
          <w:b/>
          <w:color w:val="000000"/>
          <w:sz w:val="20"/>
          <w:szCs w:val="20"/>
        </w:rPr>
        <w:t>Deterioro</w:t>
      </w:r>
    </w:p>
    <w:tbl>
      <w:tblPr>
        <w:tblStyle w:val="af2"/>
        <w:tblW w:w="4962" w:type="dxa"/>
        <w:jc w:val="center"/>
        <w:tblInd w:w="0" w:type="dxa"/>
        <w:tblLayout w:type="fixed"/>
        <w:tblLook w:val="0400" w:firstRow="0" w:lastRow="0" w:firstColumn="0" w:lastColumn="0" w:noHBand="0" w:noVBand="1"/>
      </w:tblPr>
      <w:tblGrid>
        <w:gridCol w:w="2749"/>
        <w:gridCol w:w="1220"/>
        <w:gridCol w:w="993"/>
      </w:tblGrid>
      <w:tr w:rsidR="00CB252E" w14:paraId="7527A205" w14:textId="77777777">
        <w:trPr>
          <w:trHeight w:val="268"/>
          <w:jc w:val="center"/>
        </w:trPr>
        <w:tc>
          <w:tcPr>
            <w:tcW w:w="2749" w:type="dxa"/>
            <w:tcBorders>
              <w:top w:val="single" w:sz="4" w:space="0" w:color="000000"/>
              <w:left w:val="single" w:sz="4" w:space="0" w:color="000000"/>
              <w:bottom w:val="single" w:sz="4" w:space="0" w:color="000000"/>
              <w:right w:val="single" w:sz="4" w:space="0" w:color="000000"/>
            </w:tcBorders>
            <w:shd w:val="clear" w:color="auto" w:fill="F2F2F2"/>
          </w:tcPr>
          <w:p w14:paraId="0000007C" w14:textId="77777777" w:rsidR="00CB252E" w:rsidRDefault="00000000">
            <w:pPr>
              <w:spacing w:before="240"/>
              <w:ind w:left="2" w:hanging="2"/>
              <w:jc w:val="center"/>
              <w:rPr>
                <w:color w:val="000000"/>
                <w:sz w:val="20"/>
                <w:szCs w:val="20"/>
              </w:rPr>
            </w:pPr>
            <w:r>
              <w:rPr>
                <w:b/>
                <w:color w:val="000000"/>
                <w:sz w:val="20"/>
                <w:szCs w:val="20"/>
              </w:rPr>
              <w:t>Cuenta</w:t>
            </w:r>
          </w:p>
        </w:tc>
        <w:tc>
          <w:tcPr>
            <w:tcW w:w="1220" w:type="dxa"/>
            <w:tcBorders>
              <w:top w:val="single" w:sz="4" w:space="0" w:color="000000"/>
              <w:left w:val="nil"/>
              <w:bottom w:val="single" w:sz="4" w:space="0" w:color="000000"/>
              <w:right w:val="single" w:sz="4" w:space="0" w:color="000000"/>
            </w:tcBorders>
            <w:shd w:val="clear" w:color="auto" w:fill="F2F2F2"/>
          </w:tcPr>
          <w:p w14:paraId="0000007D" w14:textId="77777777" w:rsidR="00CB252E" w:rsidRDefault="00000000">
            <w:pPr>
              <w:spacing w:before="240"/>
              <w:ind w:left="2" w:hanging="2"/>
              <w:jc w:val="center"/>
              <w:rPr>
                <w:color w:val="000000"/>
                <w:sz w:val="20"/>
                <w:szCs w:val="20"/>
              </w:rPr>
            </w:pPr>
            <w:r>
              <w:rPr>
                <w:b/>
                <w:color w:val="000000"/>
                <w:sz w:val="20"/>
                <w:szCs w:val="20"/>
              </w:rPr>
              <w:t>Debe</w:t>
            </w:r>
          </w:p>
        </w:tc>
        <w:tc>
          <w:tcPr>
            <w:tcW w:w="993" w:type="dxa"/>
            <w:tcBorders>
              <w:top w:val="single" w:sz="4" w:space="0" w:color="000000"/>
              <w:left w:val="nil"/>
              <w:bottom w:val="single" w:sz="4" w:space="0" w:color="000000"/>
              <w:right w:val="single" w:sz="4" w:space="0" w:color="000000"/>
            </w:tcBorders>
            <w:shd w:val="clear" w:color="auto" w:fill="F2F2F2"/>
          </w:tcPr>
          <w:p w14:paraId="0000007E" w14:textId="77777777" w:rsidR="00CB252E" w:rsidRDefault="00000000">
            <w:pPr>
              <w:spacing w:before="240"/>
              <w:ind w:left="2" w:hanging="2"/>
              <w:jc w:val="center"/>
              <w:rPr>
                <w:color w:val="000000"/>
                <w:sz w:val="20"/>
                <w:szCs w:val="20"/>
              </w:rPr>
            </w:pPr>
            <w:r>
              <w:rPr>
                <w:b/>
                <w:color w:val="000000"/>
                <w:sz w:val="20"/>
                <w:szCs w:val="20"/>
              </w:rPr>
              <w:t>Haber</w:t>
            </w:r>
          </w:p>
        </w:tc>
      </w:tr>
      <w:tr w:rsidR="00CB252E" w14:paraId="0C7F84BE" w14:textId="77777777">
        <w:trPr>
          <w:trHeight w:val="268"/>
          <w:jc w:val="center"/>
        </w:trPr>
        <w:tc>
          <w:tcPr>
            <w:tcW w:w="2749" w:type="dxa"/>
            <w:tcBorders>
              <w:top w:val="nil"/>
              <w:left w:val="single" w:sz="4" w:space="0" w:color="000000"/>
              <w:bottom w:val="single" w:sz="4" w:space="0" w:color="000000"/>
              <w:right w:val="single" w:sz="4" w:space="0" w:color="000000"/>
            </w:tcBorders>
          </w:tcPr>
          <w:p w14:paraId="0000007F" w14:textId="77777777" w:rsidR="00CB252E" w:rsidRDefault="00000000">
            <w:pPr>
              <w:spacing w:before="240"/>
              <w:ind w:left="2" w:hanging="2"/>
              <w:jc w:val="both"/>
              <w:rPr>
                <w:color w:val="000000"/>
                <w:sz w:val="20"/>
                <w:szCs w:val="20"/>
              </w:rPr>
            </w:pPr>
            <w:r>
              <w:rPr>
                <w:sz w:val="20"/>
                <w:szCs w:val="20"/>
              </w:rPr>
              <w:t>Pérdidas</w:t>
            </w:r>
            <w:r>
              <w:rPr>
                <w:color w:val="000000"/>
                <w:sz w:val="20"/>
                <w:szCs w:val="20"/>
              </w:rPr>
              <w:t xml:space="preserve"> por deterioro del activo Intangible(2500*0.3)</w:t>
            </w:r>
          </w:p>
        </w:tc>
        <w:tc>
          <w:tcPr>
            <w:tcW w:w="1220" w:type="dxa"/>
            <w:tcBorders>
              <w:top w:val="nil"/>
              <w:left w:val="nil"/>
              <w:bottom w:val="single" w:sz="4" w:space="0" w:color="000000"/>
              <w:right w:val="single" w:sz="4" w:space="0" w:color="000000"/>
            </w:tcBorders>
          </w:tcPr>
          <w:p w14:paraId="00000080" w14:textId="77777777" w:rsidR="00CB252E" w:rsidRDefault="00000000">
            <w:pPr>
              <w:spacing w:before="240"/>
              <w:ind w:left="2" w:hanging="2"/>
              <w:rPr>
                <w:color w:val="000000"/>
                <w:sz w:val="20"/>
                <w:szCs w:val="20"/>
              </w:rPr>
            </w:pPr>
            <w:r>
              <w:rPr>
                <w:color w:val="000000"/>
                <w:sz w:val="20"/>
                <w:szCs w:val="20"/>
              </w:rPr>
              <w:t xml:space="preserve">            750</w:t>
            </w:r>
          </w:p>
        </w:tc>
        <w:tc>
          <w:tcPr>
            <w:tcW w:w="993" w:type="dxa"/>
            <w:tcBorders>
              <w:top w:val="nil"/>
              <w:left w:val="nil"/>
              <w:bottom w:val="single" w:sz="4" w:space="0" w:color="000000"/>
              <w:right w:val="single" w:sz="4" w:space="0" w:color="000000"/>
            </w:tcBorders>
          </w:tcPr>
          <w:p w14:paraId="00000081" w14:textId="77777777" w:rsidR="00CB252E" w:rsidRDefault="00000000">
            <w:pPr>
              <w:spacing w:before="240"/>
              <w:ind w:left="2" w:hanging="2"/>
              <w:rPr>
                <w:color w:val="000000"/>
                <w:sz w:val="20"/>
                <w:szCs w:val="20"/>
              </w:rPr>
            </w:pPr>
            <w:r>
              <w:rPr>
                <w:color w:val="000000"/>
                <w:sz w:val="20"/>
                <w:szCs w:val="20"/>
              </w:rPr>
              <w:t> </w:t>
            </w:r>
          </w:p>
        </w:tc>
      </w:tr>
      <w:tr w:rsidR="00CB252E" w14:paraId="1314284B" w14:textId="77777777">
        <w:trPr>
          <w:trHeight w:val="268"/>
          <w:jc w:val="center"/>
        </w:trPr>
        <w:tc>
          <w:tcPr>
            <w:tcW w:w="2749" w:type="dxa"/>
            <w:tcBorders>
              <w:top w:val="nil"/>
              <w:left w:val="single" w:sz="4" w:space="0" w:color="000000"/>
              <w:bottom w:val="single" w:sz="4" w:space="0" w:color="000000"/>
              <w:right w:val="single" w:sz="4" w:space="0" w:color="000000"/>
            </w:tcBorders>
          </w:tcPr>
          <w:p w14:paraId="00000082" w14:textId="77777777" w:rsidR="00CB252E" w:rsidRDefault="00000000">
            <w:pPr>
              <w:spacing w:before="240"/>
              <w:ind w:left="2" w:hanging="2"/>
              <w:jc w:val="both"/>
              <w:rPr>
                <w:color w:val="000000"/>
                <w:sz w:val="20"/>
                <w:szCs w:val="20"/>
              </w:rPr>
            </w:pPr>
            <w:r>
              <w:rPr>
                <w:sz w:val="20"/>
                <w:szCs w:val="20"/>
              </w:rPr>
              <w:t>Deterioro</w:t>
            </w:r>
            <w:r>
              <w:rPr>
                <w:color w:val="000000"/>
                <w:sz w:val="20"/>
                <w:szCs w:val="20"/>
              </w:rPr>
              <w:t xml:space="preserve"> de valor de Propiedad Industrial Marcas</w:t>
            </w:r>
          </w:p>
        </w:tc>
        <w:tc>
          <w:tcPr>
            <w:tcW w:w="1220" w:type="dxa"/>
            <w:tcBorders>
              <w:top w:val="nil"/>
              <w:left w:val="nil"/>
              <w:bottom w:val="single" w:sz="4" w:space="0" w:color="000000"/>
              <w:right w:val="single" w:sz="4" w:space="0" w:color="000000"/>
            </w:tcBorders>
          </w:tcPr>
          <w:p w14:paraId="00000083" w14:textId="77777777" w:rsidR="00CB252E" w:rsidRDefault="00000000">
            <w:pPr>
              <w:spacing w:before="240"/>
              <w:ind w:left="2" w:hanging="2"/>
              <w:rPr>
                <w:color w:val="000000"/>
                <w:sz w:val="20"/>
                <w:szCs w:val="20"/>
              </w:rPr>
            </w:pPr>
            <w:r>
              <w:rPr>
                <w:color w:val="000000"/>
                <w:sz w:val="20"/>
                <w:szCs w:val="20"/>
              </w:rPr>
              <w:t> </w:t>
            </w:r>
          </w:p>
        </w:tc>
        <w:tc>
          <w:tcPr>
            <w:tcW w:w="993" w:type="dxa"/>
            <w:tcBorders>
              <w:top w:val="nil"/>
              <w:left w:val="nil"/>
              <w:bottom w:val="single" w:sz="4" w:space="0" w:color="000000"/>
              <w:right w:val="single" w:sz="4" w:space="0" w:color="000000"/>
            </w:tcBorders>
          </w:tcPr>
          <w:p w14:paraId="00000084" w14:textId="77777777" w:rsidR="00CB252E" w:rsidRDefault="00000000">
            <w:pPr>
              <w:spacing w:before="240"/>
              <w:ind w:left="2" w:hanging="2"/>
              <w:rPr>
                <w:color w:val="000000"/>
                <w:sz w:val="20"/>
                <w:szCs w:val="20"/>
              </w:rPr>
            </w:pPr>
            <w:r>
              <w:rPr>
                <w:color w:val="000000"/>
                <w:sz w:val="20"/>
                <w:szCs w:val="20"/>
              </w:rPr>
              <w:t xml:space="preserve">       750 </w:t>
            </w:r>
          </w:p>
        </w:tc>
      </w:tr>
    </w:tbl>
    <w:p w14:paraId="00000085" w14:textId="77777777" w:rsidR="00CB252E" w:rsidRDefault="00000000">
      <w:pPr>
        <w:spacing w:before="240"/>
        <w:ind w:left="2" w:hanging="2"/>
        <w:rPr>
          <w:color w:val="000000"/>
          <w:sz w:val="20"/>
          <w:szCs w:val="20"/>
        </w:rPr>
      </w:pPr>
      <w:r>
        <w:rPr>
          <w:i/>
          <w:color w:val="000000"/>
          <w:sz w:val="20"/>
          <w:szCs w:val="20"/>
        </w:rPr>
        <w:t>Nota: se considera su valor en libros teniendo en cuenta el deterioro que ha sufrido el intangible</w:t>
      </w:r>
      <w:r>
        <w:rPr>
          <w:color w:val="000000"/>
          <w:sz w:val="20"/>
          <w:szCs w:val="20"/>
        </w:rPr>
        <w:t>.</w:t>
      </w:r>
    </w:p>
    <w:p w14:paraId="00000086" w14:textId="77777777" w:rsidR="00CB252E" w:rsidRDefault="00000000">
      <w:pPr>
        <w:shd w:val="clear" w:color="auto" w:fill="FFFFFF"/>
        <w:spacing w:before="240"/>
        <w:rPr>
          <w:b/>
          <w:sz w:val="20"/>
          <w:szCs w:val="20"/>
        </w:rPr>
      </w:pPr>
      <w:r>
        <w:rPr>
          <w:b/>
          <w:sz w:val="20"/>
          <w:szCs w:val="20"/>
        </w:rPr>
        <w:t>Periodo y Método de Amortización</w:t>
      </w:r>
    </w:p>
    <w:p w14:paraId="00000087" w14:textId="77777777" w:rsidR="00CB252E" w:rsidRDefault="00000000">
      <w:pPr>
        <w:shd w:val="clear" w:color="auto" w:fill="FFFFFF"/>
        <w:spacing w:before="240"/>
        <w:rPr>
          <w:sz w:val="20"/>
          <w:szCs w:val="20"/>
        </w:rPr>
      </w:pPr>
      <w:r>
        <w:rPr>
          <w:b/>
          <w:sz w:val="20"/>
          <w:szCs w:val="20"/>
        </w:rPr>
        <w:br/>
      </w:r>
      <w:r>
        <w:rPr>
          <w:sz w:val="20"/>
          <w:szCs w:val="20"/>
        </w:rPr>
        <w:t>De acuerdo con el ejercicio anterior, la amortización es la distribución sistémica a lo largo de la vida útil de un activo con vida útil finita, es decir, se debe dividir el valor total del año en doce meses para poder registrar el valor correspondiente a cada mes.</w:t>
      </w:r>
    </w:p>
    <w:p w14:paraId="00000088" w14:textId="77777777" w:rsidR="00CB252E" w:rsidRDefault="00CB252E">
      <w:pPr>
        <w:shd w:val="clear" w:color="auto" w:fill="FFFFFF"/>
        <w:spacing w:before="240"/>
        <w:rPr>
          <w:sz w:val="20"/>
          <w:szCs w:val="20"/>
        </w:rPr>
      </w:pPr>
    </w:p>
    <w:p w14:paraId="00000089" w14:textId="77777777" w:rsidR="00CB252E" w:rsidRDefault="00CB252E">
      <w:pPr>
        <w:shd w:val="clear" w:color="auto" w:fill="FFFFFF"/>
        <w:spacing w:before="240"/>
        <w:rPr>
          <w:sz w:val="20"/>
          <w:szCs w:val="20"/>
        </w:rPr>
      </w:pPr>
    </w:p>
    <w:tbl>
      <w:tblPr>
        <w:tblStyle w:val="af3"/>
        <w:tblW w:w="5386" w:type="dxa"/>
        <w:jc w:val="center"/>
        <w:tblInd w:w="0" w:type="dxa"/>
        <w:tblLayout w:type="fixed"/>
        <w:tblLook w:val="0400" w:firstRow="0" w:lastRow="0" w:firstColumn="0" w:lastColumn="0" w:noHBand="0" w:noVBand="1"/>
      </w:tblPr>
      <w:tblGrid>
        <w:gridCol w:w="2746"/>
        <w:gridCol w:w="1081"/>
        <w:gridCol w:w="1559"/>
      </w:tblGrid>
      <w:tr w:rsidR="00CB252E" w14:paraId="075A92BA" w14:textId="77777777">
        <w:trPr>
          <w:trHeight w:val="325"/>
          <w:jc w:val="center"/>
        </w:trPr>
        <w:tc>
          <w:tcPr>
            <w:tcW w:w="5387" w:type="dxa"/>
            <w:gridSpan w:val="3"/>
          </w:tcPr>
          <w:p w14:paraId="0000008A" w14:textId="77777777" w:rsidR="00CB252E" w:rsidRDefault="00000000">
            <w:pPr>
              <w:spacing w:before="240"/>
              <w:ind w:left="2" w:hanging="2"/>
              <w:jc w:val="center"/>
              <w:rPr>
                <w:b/>
                <w:color w:val="000000"/>
                <w:sz w:val="20"/>
                <w:szCs w:val="20"/>
              </w:rPr>
            </w:pPr>
            <w:r>
              <w:rPr>
                <w:b/>
                <w:color w:val="000000"/>
                <w:sz w:val="20"/>
                <w:szCs w:val="20"/>
              </w:rPr>
              <w:t>Amortización Intangible- Patente -mensual (4 años)</w:t>
            </w:r>
          </w:p>
        </w:tc>
      </w:tr>
      <w:tr w:rsidR="00CB252E" w14:paraId="38BB9601" w14:textId="77777777">
        <w:trPr>
          <w:trHeight w:val="325"/>
          <w:jc w:val="center"/>
        </w:trPr>
        <w:tc>
          <w:tcPr>
            <w:tcW w:w="2747" w:type="dxa"/>
            <w:tcBorders>
              <w:top w:val="single" w:sz="4" w:space="0" w:color="000000"/>
              <w:left w:val="single" w:sz="4" w:space="0" w:color="000000"/>
              <w:bottom w:val="single" w:sz="4" w:space="0" w:color="000000"/>
              <w:right w:val="single" w:sz="4" w:space="0" w:color="000000"/>
            </w:tcBorders>
            <w:shd w:val="clear" w:color="auto" w:fill="F2F2F2"/>
          </w:tcPr>
          <w:p w14:paraId="0000008D" w14:textId="77777777" w:rsidR="00CB252E" w:rsidRDefault="00000000">
            <w:pPr>
              <w:spacing w:before="240"/>
              <w:ind w:left="2" w:hanging="2"/>
              <w:jc w:val="center"/>
              <w:rPr>
                <w:color w:val="000000"/>
                <w:sz w:val="20"/>
                <w:szCs w:val="20"/>
              </w:rPr>
            </w:pPr>
            <w:r>
              <w:rPr>
                <w:b/>
                <w:color w:val="000000"/>
                <w:sz w:val="20"/>
                <w:szCs w:val="20"/>
              </w:rPr>
              <w:t>Cuenta</w:t>
            </w:r>
          </w:p>
        </w:tc>
        <w:tc>
          <w:tcPr>
            <w:tcW w:w="1081" w:type="dxa"/>
            <w:tcBorders>
              <w:top w:val="single" w:sz="4" w:space="0" w:color="000000"/>
              <w:left w:val="nil"/>
              <w:bottom w:val="single" w:sz="4" w:space="0" w:color="000000"/>
              <w:right w:val="single" w:sz="4" w:space="0" w:color="000000"/>
            </w:tcBorders>
            <w:shd w:val="clear" w:color="auto" w:fill="F2F2F2"/>
          </w:tcPr>
          <w:p w14:paraId="0000008E" w14:textId="77777777" w:rsidR="00CB252E" w:rsidRDefault="00000000">
            <w:pPr>
              <w:spacing w:before="240"/>
              <w:ind w:left="2" w:hanging="2"/>
              <w:jc w:val="center"/>
              <w:rPr>
                <w:color w:val="000000"/>
                <w:sz w:val="20"/>
                <w:szCs w:val="20"/>
              </w:rPr>
            </w:pPr>
            <w:r>
              <w:rPr>
                <w:b/>
                <w:color w:val="000000"/>
                <w:sz w:val="20"/>
                <w:szCs w:val="20"/>
              </w:rPr>
              <w:t>Debe</w:t>
            </w:r>
          </w:p>
        </w:tc>
        <w:tc>
          <w:tcPr>
            <w:tcW w:w="1559" w:type="dxa"/>
            <w:tcBorders>
              <w:top w:val="single" w:sz="4" w:space="0" w:color="000000"/>
              <w:left w:val="nil"/>
              <w:bottom w:val="single" w:sz="4" w:space="0" w:color="000000"/>
              <w:right w:val="single" w:sz="4" w:space="0" w:color="000000"/>
            </w:tcBorders>
            <w:shd w:val="clear" w:color="auto" w:fill="F2F2F2"/>
          </w:tcPr>
          <w:p w14:paraId="0000008F" w14:textId="77777777" w:rsidR="00CB252E" w:rsidRDefault="00000000">
            <w:pPr>
              <w:spacing w:before="240"/>
              <w:ind w:left="2" w:hanging="2"/>
              <w:jc w:val="center"/>
              <w:rPr>
                <w:color w:val="000000"/>
                <w:sz w:val="20"/>
                <w:szCs w:val="20"/>
              </w:rPr>
            </w:pPr>
            <w:r>
              <w:rPr>
                <w:b/>
                <w:color w:val="000000"/>
                <w:sz w:val="20"/>
                <w:szCs w:val="20"/>
              </w:rPr>
              <w:t>Haber</w:t>
            </w:r>
          </w:p>
        </w:tc>
      </w:tr>
      <w:tr w:rsidR="00CB252E" w14:paraId="0F767331" w14:textId="77777777">
        <w:trPr>
          <w:trHeight w:val="325"/>
          <w:jc w:val="center"/>
        </w:trPr>
        <w:tc>
          <w:tcPr>
            <w:tcW w:w="2747" w:type="dxa"/>
            <w:tcBorders>
              <w:top w:val="nil"/>
              <w:left w:val="single" w:sz="4" w:space="0" w:color="000000"/>
              <w:bottom w:val="single" w:sz="4" w:space="0" w:color="000000"/>
              <w:right w:val="single" w:sz="4" w:space="0" w:color="000000"/>
            </w:tcBorders>
          </w:tcPr>
          <w:p w14:paraId="00000090" w14:textId="77777777" w:rsidR="00CB252E" w:rsidRDefault="00000000">
            <w:pPr>
              <w:spacing w:before="240"/>
              <w:ind w:left="2" w:hanging="2"/>
              <w:jc w:val="center"/>
              <w:rPr>
                <w:color w:val="000000"/>
                <w:sz w:val="20"/>
                <w:szCs w:val="20"/>
              </w:rPr>
            </w:pPr>
            <w:r>
              <w:rPr>
                <w:color w:val="000000"/>
                <w:sz w:val="20"/>
                <w:szCs w:val="20"/>
              </w:rPr>
              <w:t>Gastos Amortización Propiedad Industrial Patente</w:t>
            </w:r>
          </w:p>
        </w:tc>
        <w:tc>
          <w:tcPr>
            <w:tcW w:w="1081" w:type="dxa"/>
            <w:tcBorders>
              <w:top w:val="nil"/>
              <w:left w:val="nil"/>
              <w:bottom w:val="single" w:sz="4" w:space="0" w:color="000000"/>
              <w:right w:val="single" w:sz="4" w:space="0" w:color="000000"/>
            </w:tcBorders>
          </w:tcPr>
          <w:p w14:paraId="00000091" w14:textId="77777777" w:rsidR="00CB252E" w:rsidRDefault="00000000">
            <w:pPr>
              <w:spacing w:before="240"/>
              <w:ind w:left="2" w:hanging="2"/>
              <w:rPr>
                <w:color w:val="000000"/>
                <w:sz w:val="20"/>
                <w:szCs w:val="20"/>
              </w:rPr>
            </w:pPr>
            <w:r>
              <w:rPr>
                <w:color w:val="000000"/>
                <w:sz w:val="20"/>
                <w:szCs w:val="20"/>
              </w:rPr>
              <w:t xml:space="preserve">     93,75 </w:t>
            </w:r>
          </w:p>
        </w:tc>
        <w:tc>
          <w:tcPr>
            <w:tcW w:w="1559" w:type="dxa"/>
            <w:tcBorders>
              <w:top w:val="nil"/>
              <w:left w:val="nil"/>
              <w:bottom w:val="single" w:sz="4" w:space="0" w:color="000000"/>
              <w:right w:val="single" w:sz="4" w:space="0" w:color="000000"/>
            </w:tcBorders>
          </w:tcPr>
          <w:p w14:paraId="00000092" w14:textId="77777777" w:rsidR="00CB252E" w:rsidRDefault="00000000">
            <w:pPr>
              <w:spacing w:before="240"/>
              <w:ind w:left="2" w:hanging="2"/>
              <w:rPr>
                <w:color w:val="000000"/>
                <w:sz w:val="20"/>
                <w:szCs w:val="20"/>
              </w:rPr>
            </w:pPr>
            <w:r>
              <w:rPr>
                <w:color w:val="000000"/>
                <w:sz w:val="20"/>
                <w:szCs w:val="20"/>
              </w:rPr>
              <w:t> </w:t>
            </w:r>
          </w:p>
        </w:tc>
      </w:tr>
      <w:tr w:rsidR="00CB252E" w14:paraId="4E2DD593" w14:textId="77777777">
        <w:trPr>
          <w:trHeight w:val="325"/>
          <w:jc w:val="center"/>
        </w:trPr>
        <w:tc>
          <w:tcPr>
            <w:tcW w:w="2747" w:type="dxa"/>
            <w:tcBorders>
              <w:top w:val="nil"/>
              <w:left w:val="single" w:sz="4" w:space="0" w:color="000000"/>
              <w:bottom w:val="single" w:sz="4" w:space="0" w:color="000000"/>
              <w:right w:val="single" w:sz="4" w:space="0" w:color="000000"/>
            </w:tcBorders>
          </w:tcPr>
          <w:p w14:paraId="00000093" w14:textId="77777777" w:rsidR="00CB252E" w:rsidRDefault="00000000">
            <w:pPr>
              <w:spacing w:before="240"/>
              <w:ind w:left="2" w:hanging="2"/>
              <w:jc w:val="center"/>
              <w:rPr>
                <w:color w:val="000000"/>
                <w:sz w:val="20"/>
                <w:szCs w:val="20"/>
              </w:rPr>
            </w:pPr>
            <w:r>
              <w:rPr>
                <w:color w:val="000000"/>
                <w:sz w:val="20"/>
                <w:szCs w:val="20"/>
              </w:rPr>
              <w:t>Efectivo y Equivalentes a Efectivo</w:t>
            </w:r>
          </w:p>
        </w:tc>
        <w:tc>
          <w:tcPr>
            <w:tcW w:w="1081" w:type="dxa"/>
            <w:tcBorders>
              <w:top w:val="nil"/>
              <w:left w:val="nil"/>
              <w:bottom w:val="single" w:sz="4" w:space="0" w:color="000000"/>
              <w:right w:val="single" w:sz="4" w:space="0" w:color="000000"/>
            </w:tcBorders>
          </w:tcPr>
          <w:p w14:paraId="00000094" w14:textId="77777777" w:rsidR="00CB252E" w:rsidRDefault="00000000">
            <w:pPr>
              <w:spacing w:before="240"/>
              <w:ind w:left="2" w:hanging="2"/>
              <w:rPr>
                <w:color w:val="000000"/>
                <w:sz w:val="20"/>
                <w:szCs w:val="20"/>
              </w:rPr>
            </w:pPr>
            <w:r>
              <w:rPr>
                <w:color w:val="000000"/>
                <w:sz w:val="20"/>
                <w:szCs w:val="20"/>
              </w:rPr>
              <w:t> </w:t>
            </w:r>
          </w:p>
        </w:tc>
        <w:tc>
          <w:tcPr>
            <w:tcW w:w="1559" w:type="dxa"/>
            <w:tcBorders>
              <w:top w:val="nil"/>
              <w:left w:val="nil"/>
              <w:bottom w:val="single" w:sz="4" w:space="0" w:color="000000"/>
              <w:right w:val="single" w:sz="4" w:space="0" w:color="000000"/>
            </w:tcBorders>
          </w:tcPr>
          <w:p w14:paraId="00000095" w14:textId="77777777" w:rsidR="00CB252E" w:rsidRDefault="00000000">
            <w:pPr>
              <w:spacing w:before="240"/>
              <w:ind w:left="2" w:hanging="2"/>
              <w:rPr>
                <w:color w:val="000000"/>
                <w:sz w:val="20"/>
                <w:szCs w:val="20"/>
              </w:rPr>
            </w:pPr>
            <w:r>
              <w:rPr>
                <w:color w:val="000000"/>
                <w:sz w:val="20"/>
                <w:szCs w:val="20"/>
              </w:rPr>
              <w:t xml:space="preserve">               93,75 </w:t>
            </w:r>
          </w:p>
        </w:tc>
      </w:tr>
    </w:tbl>
    <w:p w14:paraId="00000096" w14:textId="77777777" w:rsidR="00CB252E" w:rsidRDefault="00000000">
      <w:pPr>
        <w:shd w:val="clear" w:color="auto" w:fill="FFFFFF"/>
        <w:spacing w:before="240"/>
        <w:ind w:left="2" w:hanging="2"/>
        <w:jc w:val="both"/>
        <w:rPr>
          <w:sz w:val="20"/>
          <w:szCs w:val="20"/>
        </w:rPr>
      </w:pPr>
      <w:r>
        <w:rPr>
          <w:sz w:val="20"/>
          <w:szCs w:val="20"/>
        </w:rPr>
        <w:t xml:space="preserve">Vale la pena recordar que, la amortización de los intangibles inicia cuando el activo esté a disposición y en condiciones de uso. </w:t>
      </w:r>
    </w:p>
    <w:p w14:paraId="00000097" w14:textId="77777777" w:rsidR="00CB252E" w:rsidRDefault="00000000">
      <w:pPr>
        <w:shd w:val="clear" w:color="auto" w:fill="FFFFFF"/>
        <w:spacing w:before="240"/>
        <w:ind w:left="2" w:hanging="2"/>
        <w:jc w:val="both"/>
        <w:rPr>
          <w:sz w:val="20"/>
          <w:szCs w:val="20"/>
        </w:rPr>
      </w:pPr>
      <w:r>
        <w:rPr>
          <w:sz w:val="20"/>
          <w:szCs w:val="20"/>
        </w:rPr>
        <w:t>El método de amortización utilizado refleja el patrón de agotamiento esperado, por parte de la entidad.  El cargo por amortización de cada período se reconocerá en el resultado del periodo, según indicaciones de la NIC 38.</w:t>
      </w:r>
    </w:p>
    <w:p w14:paraId="00000098" w14:textId="77777777" w:rsidR="00CB252E" w:rsidRDefault="00000000">
      <w:pPr>
        <w:shd w:val="clear" w:color="auto" w:fill="FFFFFF"/>
        <w:spacing w:before="240"/>
        <w:jc w:val="both"/>
        <w:rPr>
          <w:b/>
          <w:sz w:val="20"/>
          <w:szCs w:val="20"/>
        </w:rPr>
      </w:pPr>
      <w:r>
        <w:rPr>
          <w:b/>
          <w:sz w:val="20"/>
          <w:szCs w:val="20"/>
        </w:rPr>
        <w:t>Valor Razonable</w:t>
      </w:r>
    </w:p>
    <w:p w14:paraId="00000099" w14:textId="77777777" w:rsidR="00CB252E" w:rsidRDefault="00000000">
      <w:pPr>
        <w:shd w:val="clear" w:color="auto" w:fill="FFFFFF"/>
        <w:spacing w:before="240"/>
        <w:jc w:val="both"/>
        <w:rPr>
          <w:b/>
          <w:sz w:val="20"/>
          <w:szCs w:val="20"/>
        </w:rPr>
      </w:pPr>
      <w:r>
        <w:rPr>
          <w:b/>
          <w:sz w:val="20"/>
          <w:szCs w:val="20"/>
        </w:rPr>
        <w:br/>
      </w:r>
      <w:r>
        <w:rPr>
          <w:sz w:val="20"/>
          <w:szCs w:val="20"/>
        </w:rPr>
        <w:t xml:space="preserve">Corresponde al precio que se recibirá por vender un activo o que se pagaría por transferir un pasivo en una transacción entre dos agentes o participantes en el mercado en el momento de la medición del activo. </w:t>
      </w:r>
    </w:p>
    <w:p w14:paraId="0000009A" w14:textId="77777777" w:rsidR="00CB252E" w:rsidRDefault="00000000">
      <w:pPr>
        <w:shd w:val="clear" w:color="auto" w:fill="FFFFFF"/>
        <w:spacing w:before="240"/>
        <w:ind w:left="2" w:hanging="2"/>
        <w:jc w:val="both"/>
        <w:rPr>
          <w:b/>
          <w:sz w:val="20"/>
          <w:szCs w:val="20"/>
        </w:rPr>
      </w:pPr>
      <w:r>
        <w:rPr>
          <w:b/>
          <w:sz w:val="20"/>
          <w:szCs w:val="20"/>
        </w:rPr>
        <w:t>Por ejemplo:</w:t>
      </w:r>
    </w:p>
    <w:p w14:paraId="0000009B" w14:textId="77777777" w:rsidR="00CB252E" w:rsidRDefault="00000000">
      <w:pPr>
        <w:shd w:val="clear" w:color="auto" w:fill="FFFFFF"/>
        <w:spacing w:before="240"/>
        <w:ind w:left="2" w:hanging="2"/>
        <w:jc w:val="both"/>
        <w:rPr>
          <w:sz w:val="20"/>
          <w:szCs w:val="20"/>
        </w:rPr>
      </w:pPr>
      <w:r>
        <w:rPr>
          <w:sz w:val="20"/>
          <w:szCs w:val="20"/>
        </w:rPr>
        <w:t>Tomando el caso anterior se tiene, que el activo intangible “marcas”, de acuerdo con factores de mercado se determinó que, su valor razonable es de $1.750</w:t>
      </w:r>
    </w:p>
    <w:p w14:paraId="0000009C" w14:textId="77777777" w:rsidR="00CB252E" w:rsidRDefault="00000000">
      <w:pPr>
        <w:shd w:val="clear" w:color="auto" w:fill="FFFFFF"/>
        <w:spacing w:before="240"/>
        <w:ind w:left="2" w:hanging="2"/>
        <w:jc w:val="both"/>
        <w:rPr>
          <w:sz w:val="20"/>
          <w:szCs w:val="20"/>
        </w:rPr>
      </w:pPr>
      <w:r>
        <w:rPr>
          <w:sz w:val="20"/>
          <w:szCs w:val="20"/>
        </w:rPr>
        <w:t>Entonces:</w:t>
      </w:r>
    </w:p>
    <w:p w14:paraId="0000009D" w14:textId="77777777" w:rsidR="00CB252E" w:rsidRDefault="00000000">
      <w:pPr>
        <w:shd w:val="clear" w:color="auto" w:fill="FFFFFF"/>
        <w:spacing w:before="240"/>
        <w:ind w:left="2" w:hanging="2"/>
        <w:jc w:val="both"/>
        <w:rPr>
          <w:sz w:val="20"/>
          <w:szCs w:val="20"/>
        </w:rPr>
      </w:pPr>
      <w:r>
        <w:rPr>
          <w:sz w:val="20"/>
          <w:szCs w:val="20"/>
        </w:rPr>
        <w:t>Valor en libros…………$2.500</w:t>
      </w:r>
    </w:p>
    <w:p w14:paraId="0000009E" w14:textId="77777777" w:rsidR="00CB252E" w:rsidRDefault="00000000">
      <w:pPr>
        <w:shd w:val="clear" w:color="auto" w:fill="FFFFFF"/>
        <w:spacing w:before="240"/>
        <w:ind w:left="2" w:hanging="2"/>
        <w:jc w:val="both"/>
        <w:rPr>
          <w:sz w:val="20"/>
          <w:szCs w:val="20"/>
        </w:rPr>
      </w:pPr>
      <w:r>
        <w:rPr>
          <w:sz w:val="20"/>
          <w:szCs w:val="20"/>
        </w:rPr>
        <w:t>Valor razonable</w:t>
      </w:r>
      <w:r>
        <w:rPr>
          <w:sz w:val="20"/>
          <w:szCs w:val="20"/>
          <w:u w:val="single"/>
        </w:rPr>
        <w:t>………..$1.750</w:t>
      </w:r>
    </w:p>
    <w:p w14:paraId="0000009F" w14:textId="77777777" w:rsidR="00CB252E" w:rsidRDefault="00000000">
      <w:pPr>
        <w:spacing w:before="240"/>
        <w:jc w:val="both"/>
        <w:rPr>
          <w:b/>
          <w:sz w:val="20"/>
          <w:szCs w:val="20"/>
        </w:rPr>
      </w:pPr>
      <w:r>
        <w:rPr>
          <w:b/>
          <w:sz w:val="20"/>
          <w:szCs w:val="20"/>
        </w:rPr>
        <w:t>Valor del deterioro ……...750</w:t>
      </w:r>
    </w:p>
    <w:p w14:paraId="000000A0" w14:textId="77777777" w:rsidR="00CB252E" w:rsidRDefault="00CB252E">
      <w:pPr>
        <w:spacing w:before="240"/>
        <w:jc w:val="both"/>
        <w:rPr>
          <w:color w:val="000000"/>
          <w:sz w:val="20"/>
          <w:szCs w:val="20"/>
        </w:rPr>
      </w:pPr>
    </w:p>
    <w:p w14:paraId="000000A1" w14:textId="77777777" w:rsidR="00CB252E" w:rsidRDefault="00000000">
      <w:pPr>
        <w:shd w:val="clear" w:color="auto" w:fill="FFFFFF"/>
        <w:spacing w:before="240"/>
        <w:ind w:left="722" w:hanging="2"/>
        <w:jc w:val="both"/>
        <w:rPr>
          <w:b/>
          <w:sz w:val="20"/>
          <w:szCs w:val="20"/>
        </w:rPr>
      </w:pPr>
      <w:r>
        <w:rPr>
          <w:b/>
          <w:sz w:val="20"/>
          <w:szCs w:val="20"/>
        </w:rPr>
        <w:t>1.1.6. Política contable de intangibles</w:t>
      </w:r>
    </w:p>
    <w:p w14:paraId="000000A2" w14:textId="77777777" w:rsidR="00CB252E" w:rsidRDefault="00000000">
      <w:pPr>
        <w:shd w:val="clear" w:color="auto" w:fill="FFFFFF"/>
        <w:spacing w:before="240"/>
        <w:ind w:left="2" w:hanging="2"/>
        <w:jc w:val="both"/>
        <w:rPr>
          <w:sz w:val="20"/>
          <w:szCs w:val="20"/>
        </w:rPr>
      </w:pPr>
      <w:r>
        <w:rPr>
          <w:b/>
          <w:sz w:val="20"/>
          <w:szCs w:val="20"/>
        </w:rPr>
        <w:br/>
      </w:r>
      <w:r>
        <w:rPr>
          <w:sz w:val="20"/>
          <w:szCs w:val="20"/>
        </w:rPr>
        <w:t xml:space="preserve">La Política contable de intangibles establece las características de reconocimiento, medición inicial y posterior, presentación y revelación de la información contable y financiera de los activos intangibles que posee la entidad, la cual debe ser diseñada de acuerdo con criterios del marco normativo. </w:t>
      </w:r>
    </w:p>
    <w:p w14:paraId="000000A3" w14:textId="77777777" w:rsidR="00CB252E" w:rsidRDefault="00000000">
      <w:pPr>
        <w:shd w:val="clear" w:color="auto" w:fill="FFFFFF"/>
        <w:spacing w:before="240"/>
        <w:ind w:left="2" w:hanging="2"/>
        <w:jc w:val="both"/>
        <w:rPr>
          <w:sz w:val="20"/>
          <w:szCs w:val="20"/>
        </w:rPr>
      </w:pPr>
      <w:r>
        <w:rPr>
          <w:sz w:val="20"/>
          <w:szCs w:val="20"/>
        </w:rPr>
        <w:lastRenderedPageBreak/>
        <w:t>La organización deberá optar, como política contable el modelo del costo o el modelo de revaluación, según indican los párrafos 74 y 75 respectivamente de la NIC 38. La norma también indica que, si un activo intangible por ejemplo se contabiliza según el modelo del costo, todos los demás activos clasificados en la misma clase se deberán contabilizar con el mismo modelo.</w:t>
      </w:r>
    </w:p>
    <w:p w14:paraId="000000A4" w14:textId="77777777" w:rsidR="00CB252E" w:rsidRDefault="00000000">
      <w:pPr>
        <w:shd w:val="clear" w:color="auto" w:fill="FFFFFF"/>
        <w:spacing w:before="240"/>
        <w:ind w:left="2" w:hanging="2"/>
        <w:jc w:val="both"/>
        <w:rPr>
          <w:b/>
          <w:sz w:val="20"/>
          <w:szCs w:val="20"/>
        </w:rPr>
      </w:pPr>
      <w:r>
        <w:rPr>
          <w:b/>
          <w:sz w:val="20"/>
          <w:szCs w:val="20"/>
        </w:rPr>
        <w:t xml:space="preserve">1.2. Diferidos </w:t>
      </w:r>
    </w:p>
    <w:p w14:paraId="000000A5" w14:textId="77777777" w:rsidR="00CB252E" w:rsidRDefault="00000000">
      <w:pPr>
        <w:shd w:val="clear" w:color="auto" w:fill="FFFFFF"/>
        <w:spacing w:before="240"/>
        <w:ind w:left="2" w:hanging="2"/>
        <w:jc w:val="both"/>
        <w:rPr>
          <w:sz w:val="20"/>
          <w:szCs w:val="20"/>
        </w:rPr>
      </w:pPr>
      <w:r>
        <w:rPr>
          <w:sz w:val="20"/>
          <w:szCs w:val="20"/>
        </w:rPr>
        <w:t xml:space="preserve">Los cargos diferidos se pueden dividir en dos partes: Diferidos propiamente dicho y los gastos pagados por anticipado. </w:t>
      </w:r>
    </w:p>
    <w:p w14:paraId="000000A6" w14:textId="77777777" w:rsidR="00CB252E" w:rsidRDefault="00000000">
      <w:pPr>
        <w:spacing w:before="240"/>
        <w:ind w:left="2" w:hanging="2"/>
        <w:jc w:val="both"/>
        <w:rPr>
          <w:color w:val="000000"/>
          <w:sz w:val="20"/>
          <w:szCs w:val="20"/>
        </w:rPr>
      </w:pPr>
      <w:r>
        <w:rPr>
          <w:b/>
          <w:color w:val="000000"/>
          <w:sz w:val="20"/>
          <w:szCs w:val="20"/>
        </w:rPr>
        <w:t>1.2.1 Concepto Cargos Diferidos</w:t>
      </w:r>
    </w:p>
    <w:p w14:paraId="000000A7" w14:textId="77777777" w:rsidR="00CB252E" w:rsidRDefault="00000000">
      <w:pPr>
        <w:shd w:val="clear" w:color="auto" w:fill="FFFFFF"/>
        <w:spacing w:before="240"/>
        <w:ind w:left="2" w:hanging="2"/>
        <w:jc w:val="both"/>
        <w:rPr>
          <w:sz w:val="20"/>
          <w:szCs w:val="20"/>
        </w:rPr>
      </w:pPr>
      <w:r>
        <w:rPr>
          <w:sz w:val="20"/>
          <w:szCs w:val="20"/>
        </w:rPr>
        <w:t>Los diferidos dependen de su materialidad y normalmente se llevan a una cuenta de gastos, pero esto no impide que en algunas ocasiones se deba hacer cierto análisis porque puede ser que el cargo diferido cumpla la definición de activo, y si en algún momento cumple con la definición de activo, es decir que sea un recurso controlado por la empresa proveniente de sucesos pasados de los cuales se espera recibir beneficios futuros.</w:t>
      </w:r>
    </w:p>
    <w:p w14:paraId="000000A8" w14:textId="77777777" w:rsidR="00CB252E" w:rsidRDefault="00000000">
      <w:pPr>
        <w:spacing w:before="240"/>
        <w:ind w:left="2" w:hanging="2"/>
        <w:jc w:val="both"/>
        <w:rPr>
          <w:b/>
          <w:color w:val="000000"/>
          <w:sz w:val="20"/>
          <w:szCs w:val="20"/>
          <w:highlight w:val="white"/>
        </w:rPr>
      </w:pPr>
      <w:r>
        <w:rPr>
          <w:b/>
          <w:color w:val="000000"/>
          <w:sz w:val="20"/>
          <w:szCs w:val="20"/>
          <w:highlight w:val="white"/>
        </w:rPr>
        <w:t>1.2.2. Concepto de Gastos Pagados por anticipado</w:t>
      </w:r>
    </w:p>
    <w:p w14:paraId="000000A9" w14:textId="77777777" w:rsidR="00CB252E" w:rsidRDefault="00000000">
      <w:pPr>
        <w:spacing w:before="240"/>
        <w:ind w:left="2" w:hanging="2"/>
        <w:jc w:val="both"/>
        <w:rPr>
          <w:color w:val="000000"/>
          <w:sz w:val="20"/>
          <w:szCs w:val="20"/>
          <w:highlight w:val="white"/>
        </w:rPr>
      </w:pPr>
      <w:r>
        <w:rPr>
          <w:b/>
          <w:color w:val="000000"/>
          <w:sz w:val="20"/>
          <w:szCs w:val="20"/>
          <w:highlight w:val="white"/>
        </w:rPr>
        <w:br/>
      </w:r>
      <w:r>
        <w:rPr>
          <w:color w:val="000000"/>
          <w:sz w:val="20"/>
          <w:szCs w:val="20"/>
        </w:rPr>
        <w:t>Son un anticipo que se entrega (en dinero) y que van a cubrir un determinado tiempo de acuerdo con el uso. Por ejemplo, una póliza de seguro (prepagada), intereses pagados por anticipado, arrendamientos, entre otros, en los que incurre el ente económico en la ejecución de su actividad.  Lo importante, en determinado momento es saber si cumple con la definición de activo estos gastos que normalmente se ubican en una cuenta por cobrar u otras cuentas por cobrar.</w:t>
      </w:r>
    </w:p>
    <w:p w14:paraId="000000AA" w14:textId="77777777" w:rsidR="00CB252E" w:rsidRDefault="00000000">
      <w:pPr>
        <w:spacing w:before="240"/>
        <w:ind w:left="2" w:hanging="2"/>
        <w:jc w:val="both"/>
        <w:rPr>
          <w:color w:val="000000"/>
          <w:sz w:val="20"/>
          <w:szCs w:val="20"/>
        </w:rPr>
      </w:pPr>
      <w:r>
        <w:rPr>
          <w:color w:val="000000"/>
          <w:sz w:val="20"/>
          <w:szCs w:val="20"/>
        </w:rPr>
        <w:t>El párrafo 70 de la NIC 38, sostiene:</w:t>
      </w:r>
    </w:p>
    <w:p w14:paraId="000000AB" w14:textId="77777777" w:rsidR="00CB252E" w:rsidRDefault="00000000">
      <w:pPr>
        <w:spacing w:before="240"/>
        <w:ind w:left="2" w:hanging="2"/>
        <w:jc w:val="both"/>
        <w:rPr>
          <w:color w:val="000000"/>
          <w:sz w:val="20"/>
          <w:szCs w:val="20"/>
        </w:rPr>
      </w:pPr>
      <w:r>
        <w:rPr>
          <w:color w:val="000000"/>
          <w:sz w:val="20"/>
          <w:szCs w:val="20"/>
        </w:rPr>
        <w:t xml:space="preserve">“(…) el párrafo 68 no impide que ésta reconozca el pago anticipado como un activo, cuando dicho pago por servicios se haya realizado antes de que la entidad reciba </w:t>
      </w:r>
      <w:r>
        <w:rPr>
          <w:sz w:val="20"/>
          <w:szCs w:val="20"/>
        </w:rPr>
        <w:t>estos</w:t>
      </w:r>
      <w:r>
        <w:rPr>
          <w:color w:val="000000"/>
          <w:sz w:val="20"/>
          <w:szCs w:val="20"/>
        </w:rPr>
        <w:t xml:space="preserve"> servicios.”</w:t>
      </w:r>
    </w:p>
    <w:p w14:paraId="000000AC" w14:textId="77777777" w:rsidR="00CB252E" w:rsidRDefault="00000000">
      <w:pPr>
        <w:spacing w:before="240"/>
        <w:ind w:left="2" w:hanging="2"/>
        <w:jc w:val="both"/>
        <w:rPr>
          <w:color w:val="000000"/>
          <w:sz w:val="20"/>
          <w:szCs w:val="20"/>
        </w:rPr>
      </w:pPr>
      <w:r>
        <w:rPr>
          <w:b/>
          <w:color w:val="000000"/>
          <w:sz w:val="20"/>
          <w:szCs w:val="20"/>
        </w:rPr>
        <w:t>1.2.3. Reconocimiento y medición.</w:t>
      </w:r>
    </w:p>
    <w:p w14:paraId="000000AD" w14:textId="77777777" w:rsidR="00CB252E" w:rsidRDefault="00000000">
      <w:pPr>
        <w:spacing w:before="240"/>
        <w:jc w:val="both"/>
        <w:rPr>
          <w:color w:val="000000"/>
          <w:sz w:val="20"/>
          <w:szCs w:val="20"/>
        </w:rPr>
      </w:pPr>
      <w:r>
        <w:rPr>
          <w:b/>
          <w:color w:val="000000"/>
          <w:sz w:val="20"/>
          <w:szCs w:val="20"/>
          <w:highlight w:val="white"/>
        </w:rPr>
        <w:t>Reconocimiento</w:t>
      </w:r>
    </w:p>
    <w:p w14:paraId="000000AE" w14:textId="77777777" w:rsidR="00CB252E" w:rsidRDefault="00000000">
      <w:pPr>
        <w:spacing w:before="240"/>
        <w:jc w:val="both"/>
        <w:rPr>
          <w:color w:val="000000"/>
          <w:sz w:val="20"/>
          <w:szCs w:val="20"/>
        </w:rPr>
      </w:pPr>
      <w:r>
        <w:rPr>
          <w:color w:val="000000"/>
          <w:sz w:val="20"/>
          <w:szCs w:val="20"/>
        </w:rPr>
        <w:t>El párrafo 68 NIC 38: Activos intangibles (Grupo 1) no impide que la entidad reconozca un pago anticipado como activo, cuando el pago por los bienes se haya realizado antes de que la entidad obtenga el derecho de acceso a esos bienes.</w:t>
      </w:r>
    </w:p>
    <w:p w14:paraId="000000AF" w14:textId="77777777" w:rsidR="00CB252E" w:rsidRDefault="00000000">
      <w:pPr>
        <w:spacing w:before="240"/>
        <w:ind w:left="2" w:hanging="2"/>
        <w:jc w:val="both"/>
        <w:rPr>
          <w:color w:val="000000"/>
          <w:sz w:val="20"/>
          <w:szCs w:val="20"/>
        </w:rPr>
      </w:pPr>
      <w:r>
        <w:rPr>
          <w:color w:val="000000"/>
          <w:sz w:val="20"/>
          <w:szCs w:val="20"/>
        </w:rPr>
        <w:t>Los desembolsos sobre un activo intangible, reconocidos inicialmente como gastos del periodo no se reconocerán posteriormente como parte del costo de un activo intangible.</w:t>
      </w:r>
    </w:p>
    <w:p w14:paraId="000000B0" w14:textId="77777777" w:rsidR="00CB252E" w:rsidRDefault="00000000">
      <w:pPr>
        <w:spacing w:before="240"/>
        <w:ind w:left="2" w:hanging="2"/>
        <w:jc w:val="both"/>
        <w:rPr>
          <w:color w:val="000000"/>
          <w:sz w:val="20"/>
          <w:szCs w:val="20"/>
        </w:rPr>
      </w:pPr>
      <w:r>
        <w:rPr>
          <w:b/>
          <w:color w:val="000000"/>
          <w:sz w:val="20"/>
          <w:szCs w:val="20"/>
        </w:rPr>
        <w:t>Ejemplo:</w:t>
      </w:r>
    </w:p>
    <w:p w14:paraId="000000B1" w14:textId="77777777" w:rsidR="00CB252E" w:rsidRDefault="00000000">
      <w:pPr>
        <w:spacing w:before="240"/>
        <w:ind w:left="2" w:hanging="2"/>
        <w:jc w:val="both"/>
        <w:rPr>
          <w:color w:val="000000"/>
          <w:sz w:val="20"/>
          <w:szCs w:val="20"/>
        </w:rPr>
      </w:pPr>
      <w:r>
        <w:rPr>
          <w:color w:val="000000"/>
          <w:sz w:val="20"/>
          <w:szCs w:val="20"/>
        </w:rPr>
        <w:t>Párrafo 28 NIC 38 Activos Intangibles: a) los costos de introducción de un nuevo producto o servicio (incluyendo los costos de actividades publicitarias y promocionales); b) los costos de apertura del negocio en una nueva localización o dirigirlo a un nuevo segmento de clientela (incluyendo los costos de formación del personal); y (c) los costos de administración y otros costos indirectos generales.</w:t>
      </w:r>
    </w:p>
    <w:p w14:paraId="000000B2" w14:textId="77777777" w:rsidR="00CB252E" w:rsidRDefault="00000000">
      <w:pPr>
        <w:spacing w:before="240"/>
        <w:jc w:val="both"/>
        <w:rPr>
          <w:b/>
          <w:color w:val="000000"/>
          <w:sz w:val="20"/>
          <w:szCs w:val="20"/>
          <w:highlight w:val="white"/>
        </w:rPr>
      </w:pPr>
      <w:r>
        <w:rPr>
          <w:b/>
          <w:color w:val="000000"/>
          <w:sz w:val="20"/>
          <w:szCs w:val="20"/>
          <w:highlight w:val="white"/>
        </w:rPr>
        <w:t>Medición Inicial</w:t>
      </w:r>
    </w:p>
    <w:p w14:paraId="000000B3" w14:textId="77777777" w:rsidR="00CB252E" w:rsidRDefault="00000000">
      <w:pPr>
        <w:spacing w:before="240"/>
        <w:ind w:left="2" w:hanging="2"/>
        <w:jc w:val="both"/>
        <w:rPr>
          <w:color w:val="000000"/>
          <w:sz w:val="20"/>
          <w:szCs w:val="20"/>
        </w:rPr>
      </w:pPr>
      <w:r>
        <w:rPr>
          <w:color w:val="000000"/>
          <w:sz w:val="20"/>
          <w:szCs w:val="20"/>
        </w:rPr>
        <w:lastRenderedPageBreak/>
        <w:t>La entidad elegirá como política contable, entre el modelo del costo del párrafo 74 o el modelo de revaluación del párrafo 75 de la NIC 38.</w:t>
      </w:r>
    </w:p>
    <w:p w14:paraId="000000B4" w14:textId="77777777" w:rsidR="00CB252E" w:rsidRDefault="00000000">
      <w:pPr>
        <w:spacing w:before="240"/>
        <w:ind w:left="2" w:hanging="2"/>
        <w:jc w:val="both"/>
        <w:rPr>
          <w:color w:val="000000"/>
          <w:sz w:val="20"/>
          <w:szCs w:val="20"/>
        </w:rPr>
      </w:pPr>
      <w:r>
        <w:rPr>
          <w:color w:val="000000"/>
          <w:sz w:val="20"/>
          <w:szCs w:val="20"/>
        </w:rPr>
        <w:t xml:space="preserve">En este </w:t>
      </w:r>
      <w:r>
        <w:rPr>
          <w:sz w:val="20"/>
          <w:szCs w:val="20"/>
        </w:rPr>
        <w:t>sentido, si</w:t>
      </w:r>
      <w:r>
        <w:rPr>
          <w:color w:val="000000"/>
          <w:sz w:val="20"/>
          <w:szCs w:val="20"/>
        </w:rPr>
        <w:t xml:space="preserve"> un activo intangible se contabiliza según el modelo de revaluación, todos los demás activos pertenecientes a la misma clase también se contabilizarán utilizando el mismo modelo, a menos que no exista un mercado activo para esa clase de activos.</w:t>
      </w:r>
    </w:p>
    <w:p w14:paraId="000000B5" w14:textId="77777777" w:rsidR="00CB252E" w:rsidRDefault="00000000">
      <w:pPr>
        <w:numPr>
          <w:ilvl w:val="0"/>
          <w:numId w:val="2"/>
        </w:numPr>
        <w:spacing w:before="240"/>
        <w:ind w:left="2" w:hanging="2"/>
        <w:jc w:val="both"/>
        <w:rPr>
          <w:color w:val="000000"/>
          <w:sz w:val="20"/>
          <w:szCs w:val="20"/>
        </w:rPr>
      </w:pPr>
      <w:r>
        <w:rPr>
          <w:b/>
          <w:color w:val="000000"/>
          <w:sz w:val="20"/>
          <w:szCs w:val="20"/>
        </w:rPr>
        <w:t>Medición Posterior al Modelo del Costo</w:t>
      </w:r>
    </w:p>
    <w:p w14:paraId="000000B6" w14:textId="77777777" w:rsidR="00CB252E" w:rsidRDefault="00000000">
      <w:pPr>
        <w:spacing w:before="240"/>
        <w:ind w:left="2" w:hanging="2"/>
        <w:jc w:val="both"/>
        <w:rPr>
          <w:color w:val="000000"/>
          <w:sz w:val="20"/>
          <w:szCs w:val="20"/>
        </w:rPr>
      </w:pPr>
      <w:r>
        <w:rPr>
          <w:color w:val="000000"/>
          <w:sz w:val="20"/>
          <w:szCs w:val="20"/>
        </w:rPr>
        <w:t xml:space="preserve">La medición posterior de un activo intangible se contabilizará por su costo menos el valor de la amortización acumulada y las </w:t>
      </w:r>
      <w:r>
        <w:rPr>
          <w:sz w:val="20"/>
          <w:szCs w:val="20"/>
        </w:rPr>
        <w:t>pérdidas</w:t>
      </w:r>
      <w:r>
        <w:rPr>
          <w:color w:val="000000"/>
          <w:sz w:val="20"/>
          <w:szCs w:val="20"/>
        </w:rPr>
        <w:t xml:space="preserve"> por deterioro del activo contempladas en el párrafo 74 de la NIC 38.</w:t>
      </w:r>
    </w:p>
    <w:p w14:paraId="000000B7" w14:textId="77777777" w:rsidR="00CB252E" w:rsidRDefault="00000000">
      <w:pPr>
        <w:numPr>
          <w:ilvl w:val="0"/>
          <w:numId w:val="2"/>
        </w:numPr>
        <w:spacing w:before="240"/>
        <w:ind w:left="2" w:hanging="2"/>
        <w:jc w:val="both"/>
        <w:rPr>
          <w:color w:val="000000"/>
          <w:sz w:val="20"/>
          <w:szCs w:val="20"/>
        </w:rPr>
      </w:pPr>
      <w:r>
        <w:rPr>
          <w:b/>
          <w:color w:val="000000"/>
          <w:sz w:val="20"/>
          <w:szCs w:val="20"/>
        </w:rPr>
        <w:t>Medición Posterior al Modelo Revaluación</w:t>
      </w:r>
    </w:p>
    <w:p w14:paraId="000000B8" w14:textId="77777777" w:rsidR="00CB252E" w:rsidRDefault="00000000">
      <w:pPr>
        <w:spacing w:before="240"/>
        <w:ind w:left="2" w:hanging="2"/>
        <w:jc w:val="both"/>
        <w:rPr>
          <w:color w:val="000000"/>
          <w:sz w:val="20"/>
          <w:szCs w:val="20"/>
        </w:rPr>
      </w:pPr>
      <w:r>
        <w:rPr>
          <w:color w:val="000000"/>
          <w:sz w:val="20"/>
          <w:szCs w:val="20"/>
        </w:rPr>
        <w:t>Un activo intangible se registrará por el valor revaluado (valor razonable), menos la amortización y las pérdidas acumuladas por deterioro que haya sufrido el activo.</w:t>
      </w:r>
    </w:p>
    <w:p w14:paraId="000000B9" w14:textId="77777777" w:rsidR="00CB252E" w:rsidRDefault="00000000">
      <w:pPr>
        <w:spacing w:before="240"/>
        <w:ind w:left="2" w:hanging="2"/>
        <w:jc w:val="both"/>
        <w:rPr>
          <w:color w:val="000000"/>
          <w:sz w:val="20"/>
          <w:szCs w:val="20"/>
        </w:rPr>
      </w:pPr>
      <w:r>
        <w:rPr>
          <w:color w:val="000000"/>
          <w:sz w:val="20"/>
          <w:szCs w:val="20"/>
        </w:rPr>
        <w:t>Por otro lado, los desembolsos sobre una partida intangible deberán reconocerse como un gasto cuando se incurra en ellos (NIC 38 Párrafo 68)</w:t>
      </w:r>
    </w:p>
    <w:p w14:paraId="000000BA" w14:textId="77777777" w:rsidR="00CB252E" w:rsidRDefault="00000000">
      <w:pPr>
        <w:spacing w:before="240"/>
        <w:ind w:left="2" w:hanging="2"/>
        <w:jc w:val="both"/>
        <w:rPr>
          <w:color w:val="000000"/>
          <w:sz w:val="20"/>
          <w:szCs w:val="20"/>
        </w:rPr>
      </w:pPr>
      <w:r>
        <w:rPr>
          <w:b/>
          <w:i/>
          <w:color w:val="000000"/>
          <w:sz w:val="20"/>
          <w:szCs w:val="20"/>
        </w:rPr>
        <w:t>Ejemplos</w:t>
      </w:r>
      <w:r>
        <w:rPr>
          <w:i/>
          <w:color w:val="000000"/>
          <w:sz w:val="20"/>
          <w:szCs w:val="20"/>
        </w:rPr>
        <w:t>:</w:t>
      </w:r>
    </w:p>
    <w:p w14:paraId="000000BB" w14:textId="77777777" w:rsidR="00CB252E" w:rsidRDefault="00000000">
      <w:pPr>
        <w:spacing w:before="240"/>
        <w:ind w:left="2" w:hanging="2"/>
        <w:jc w:val="both"/>
        <w:rPr>
          <w:color w:val="000000"/>
          <w:sz w:val="20"/>
          <w:szCs w:val="20"/>
        </w:rPr>
      </w:pPr>
      <w:r>
        <w:rPr>
          <w:color w:val="000000"/>
          <w:sz w:val="20"/>
          <w:szCs w:val="20"/>
        </w:rPr>
        <w:t>El 1 de junio del año 20X1, la empresa ABC, adquiere un contrato de arrendamiento.  Paga por anticipado tres meses de arrendamiento por valor de $3.000.000, más IVA tarifa general.</w:t>
      </w:r>
    </w:p>
    <w:p w14:paraId="000000BC" w14:textId="77777777" w:rsidR="00CB252E" w:rsidRDefault="00000000">
      <w:pPr>
        <w:spacing w:before="240"/>
        <w:ind w:left="2" w:hanging="2"/>
        <w:jc w:val="both"/>
        <w:rPr>
          <w:color w:val="000000"/>
          <w:sz w:val="20"/>
          <w:szCs w:val="20"/>
        </w:rPr>
      </w:pPr>
      <w:r>
        <w:rPr>
          <w:color w:val="000000"/>
          <w:sz w:val="20"/>
          <w:szCs w:val="20"/>
        </w:rPr>
        <w:t>Valor Anticipo     $3.000.000</w:t>
      </w:r>
    </w:p>
    <w:p w14:paraId="000000BD" w14:textId="77777777" w:rsidR="00CB252E" w:rsidRDefault="00000000">
      <w:pPr>
        <w:spacing w:before="240"/>
        <w:ind w:left="2" w:hanging="2"/>
        <w:jc w:val="both"/>
        <w:rPr>
          <w:color w:val="000000"/>
          <w:sz w:val="20"/>
          <w:szCs w:val="20"/>
        </w:rPr>
      </w:pPr>
      <w:r>
        <w:rPr>
          <w:color w:val="000000"/>
          <w:sz w:val="20"/>
          <w:szCs w:val="20"/>
        </w:rPr>
        <w:t>Más IVA                  570 .000</w:t>
      </w:r>
    </w:p>
    <w:p w14:paraId="000000BE" w14:textId="77777777" w:rsidR="00CB252E" w:rsidRDefault="00000000">
      <w:pPr>
        <w:spacing w:before="240"/>
        <w:ind w:left="2" w:hanging="2"/>
        <w:jc w:val="both"/>
        <w:rPr>
          <w:color w:val="000000"/>
          <w:sz w:val="20"/>
          <w:szCs w:val="20"/>
        </w:rPr>
      </w:pPr>
      <w:r>
        <w:rPr>
          <w:color w:val="000000"/>
          <w:sz w:val="20"/>
          <w:szCs w:val="20"/>
        </w:rPr>
        <w:t>Valor Total            3.750.000</w:t>
      </w:r>
    </w:p>
    <w:p w14:paraId="000000BF" w14:textId="77777777" w:rsidR="00CB252E" w:rsidRDefault="00CB252E">
      <w:pPr>
        <w:spacing w:before="240"/>
        <w:ind w:left="2" w:hanging="2"/>
        <w:jc w:val="both"/>
        <w:rPr>
          <w:b/>
          <w:color w:val="000000"/>
          <w:sz w:val="20"/>
          <w:szCs w:val="20"/>
        </w:rPr>
      </w:pPr>
    </w:p>
    <w:p w14:paraId="000000C0" w14:textId="77777777" w:rsidR="00CB252E" w:rsidRDefault="00000000">
      <w:pPr>
        <w:spacing w:before="240"/>
        <w:ind w:left="2" w:hanging="2"/>
        <w:jc w:val="both"/>
        <w:rPr>
          <w:b/>
          <w:color w:val="000000"/>
          <w:sz w:val="20"/>
          <w:szCs w:val="20"/>
        </w:rPr>
      </w:pPr>
      <w:r>
        <w:rPr>
          <w:b/>
          <w:color w:val="000000"/>
          <w:sz w:val="20"/>
          <w:szCs w:val="20"/>
        </w:rPr>
        <w:t>Reconocimiento</w:t>
      </w:r>
    </w:p>
    <w:p w14:paraId="000000C1" w14:textId="77777777" w:rsidR="00CB252E" w:rsidRDefault="00CB252E">
      <w:pPr>
        <w:spacing w:before="240"/>
        <w:ind w:left="2" w:hanging="2"/>
        <w:jc w:val="both"/>
        <w:rPr>
          <w:color w:val="000000"/>
          <w:sz w:val="20"/>
          <w:szCs w:val="20"/>
        </w:rPr>
      </w:pPr>
    </w:p>
    <w:tbl>
      <w:tblPr>
        <w:tblStyle w:val="af4"/>
        <w:tblW w:w="5534" w:type="dxa"/>
        <w:jc w:val="center"/>
        <w:tblInd w:w="0" w:type="dxa"/>
        <w:tblLayout w:type="fixed"/>
        <w:tblLook w:val="0400" w:firstRow="0" w:lastRow="0" w:firstColumn="0" w:lastColumn="0" w:noHBand="0" w:noVBand="1"/>
      </w:tblPr>
      <w:tblGrid>
        <w:gridCol w:w="2605"/>
        <w:gridCol w:w="1370"/>
        <w:gridCol w:w="1559"/>
      </w:tblGrid>
      <w:tr w:rsidR="00CB252E" w14:paraId="4F6739C6" w14:textId="77777777">
        <w:trPr>
          <w:trHeight w:val="255"/>
          <w:jc w:val="center"/>
        </w:trPr>
        <w:tc>
          <w:tcPr>
            <w:tcW w:w="260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C2" w14:textId="77777777" w:rsidR="00CB252E" w:rsidRDefault="00000000">
            <w:pPr>
              <w:spacing w:before="240"/>
              <w:ind w:left="2" w:hanging="2"/>
              <w:jc w:val="center"/>
              <w:rPr>
                <w:color w:val="000000"/>
                <w:sz w:val="20"/>
                <w:szCs w:val="20"/>
              </w:rPr>
            </w:pPr>
            <w:r>
              <w:rPr>
                <w:b/>
                <w:color w:val="000000"/>
                <w:sz w:val="20"/>
                <w:szCs w:val="20"/>
              </w:rPr>
              <w:t>Cuenta</w:t>
            </w:r>
          </w:p>
        </w:tc>
        <w:tc>
          <w:tcPr>
            <w:tcW w:w="1370" w:type="dxa"/>
            <w:tcBorders>
              <w:top w:val="single" w:sz="4" w:space="0" w:color="000000"/>
              <w:left w:val="nil"/>
              <w:bottom w:val="single" w:sz="4" w:space="0" w:color="000000"/>
              <w:right w:val="single" w:sz="4" w:space="0" w:color="000000"/>
            </w:tcBorders>
            <w:shd w:val="clear" w:color="auto" w:fill="F2F2F2"/>
            <w:vAlign w:val="center"/>
          </w:tcPr>
          <w:p w14:paraId="000000C3" w14:textId="77777777" w:rsidR="00CB252E" w:rsidRDefault="00000000">
            <w:pPr>
              <w:spacing w:before="240"/>
              <w:ind w:left="2" w:hanging="2"/>
              <w:jc w:val="center"/>
              <w:rPr>
                <w:color w:val="000000"/>
                <w:sz w:val="20"/>
                <w:szCs w:val="20"/>
              </w:rPr>
            </w:pPr>
            <w:r>
              <w:rPr>
                <w:b/>
                <w:color w:val="000000"/>
                <w:sz w:val="20"/>
                <w:szCs w:val="20"/>
              </w:rPr>
              <w:t>Debe</w:t>
            </w:r>
          </w:p>
        </w:tc>
        <w:tc>
          <w:tcPr>
            <w:tcW w:w="1559" w:type="dxa"/>
            <w:tcBorders>
              <w:top w:val="single" w:sz="4" w:space="0" w:color="000000"/>
              <w:left w:val="nil"/>
              <w:bottom w:val="single" w:sz="4" w:space="0" w:color="000000"/>
              <w:right w:val="single" w:sz="4" w:space="0" w:color="000000"/>
            </w:tcBorders>
            <w:shd w:val="clear" w:color="auto" w:fill="F2F2F2"/>
            <w:vAlign w:val="center"/>
          </w:tcPr>
          <w:p w14:paraId="000000C4" w14:textId="77777777" w:rsidR="00CB252E" w:rsidRDefault="00000000">
            <w:pPr>
              <w:spacing w:before="240"/>
              <w:ind w:left="2" w:hanging="2"/>
              <w:jc w:val="center"/>
              <w:rPr>
                <w:color w:val="000000"/>
                <w:sz w:val="20"/>
                <w:szCs w:val="20"/>
              </w:rPr>
            </w:pPr>
            <w:r>
              <w:rPr>
                <w:b/>
                <w:color w:val="000000"/>
                <w:sz w:val="20"/>
                <w:szCs w:val="20"/>
              </w:rPr>
              <w:t>Haber</w:t>
            </w:r>
          </w:p>
        </w:tc>
      </w:tr>
      <w:tr w:rsidR="00CB252E" w14:paraId="462044CF" w14:textId="77777777">
        <w:trPr>
          <w:trHeight w:val="433"/>
          <w:jc w:val="center"/>
        </w:trPr>
        <w:tc>
          <w:tcPr>
            <w:tcW w:w="2605" w:type="dxa"/>
            <w:tcBorders>
              <w:top w:val="nil"/>
              <w:left w:val="single" w:sz="4" w:space="0" w:color="000000"/>
              <w:bottom w:val="single" w:sz="4" w:space="0" w:color="000000"/>
              <w:right w:val="single" w:sz="4" w:space="0" w:color="000000"/>
            </w:tcBorders>
            <w:vAlign w:val="center"/>
          </w:tcPr>
          <w:p w14:paraId="000000C5" w14:textId="77777777" w:rsidR="00CB252E" w:rsidRDefault="00000000">
            <w:pPr>
              <w:spacing w:before="240"/>
              <w:ind w:left="2" w:hanging="2"/>
              <w:jc w:val="both"/>
              <w:rPr>
                <w:color w:val="000000"/>
                <w:sz w:val="20"/>
                <w:szCs w:val="20"/>
              </w:rPr>
            </w:pPr>
            <w:r>
              <w:rPr>
                <w:color w:val="000000"/>
                <w:sz w:val="20"/>
                <w:szCs w:val="20"/>
              </w:rPr>
              <w:t>Gastos Arrendamientos</w:t>
            </w:r>
          </w:p>
        </w:tc>
        <w:tc>
          <w:tcPr>
            <w:tcW w:w="1370" w:type="dxa"/>
            <w:tcBorders>
              <w:top w:val="nil"/>
              <w:left w:val="nil"/>
              <w:bottom w:val="single" w:sz="4" w:space="0" w:color="000000"/>
              <w:right w:val="single" w:sz="4" w:space="0" w:color="000000"/>
            </w:tcBorders>
            <w:vAlign w:val="center"/>
          </w:tcPr>
          <w:p w14:paraId="000000C6" w14:textId="77777777" w:rsidR="00CB252E" w:rsidRDefault="00000000">
            <w:pPr>
              <w:spacing w:before="240"/>
              <w:ind w:left="2" w:hanging="2"/>
              <w:jc w:val="center"/>
              <w:rPr>
                <w:color w:val="000000"/>
                <w:sz w:val="20"/>
                <w:szCs w:val="20"/>
              </w:rPr>
            </w:pPr>
            <w:r>
              <w:rPr>
                <w:color w:val="000000"/>
                <w:sz w:val="20"/>
                <w:szCs w:val="20"/>
              </w:rPr>
              <w:t>3.000.000</w:t>
            </w:r>
          </w:p>
        </w:tc>
        <w:tc>
          <w:tcPr>
            <w:tcW w:w="1559" w:type="dxa"/>
            <w:tcBorders>
              <w:top w:val="nil"/>
              <w:left w:val="nil"/>
              <w:bottom w:val="single" w:sz="4" w:space="0" w:color="000000"/>
              <w:right w:val="single" w:sz="4" w:space="0" w:color="000000"/>
            </w:tcBorders>
            <w:vAlign w:val="center"/>
          </w:tcPr>
          <w:p w14:paraId="000000C7" w14:textId="77777777" w:rsidR="00CB252E" w:rsidRDefault="00CB252E">
            <w:pPr>
              <w:spacing w:before="240"/>
              <w:ind w:left="2" w:hanging="2"/>
              <w:jc w:val="center"/>
              <w:rPr>
                <w:color w:val="000000"/>
                <w:sz w:val="20"/>
                <w:szCs w:val="20"/>
              </w:rPr>
            </w:pPr>
          </w:p>
        </w:tc>
      </w:tr>
      <w:tr w:rsidR="00CB252E" w14:paraId="5EFC97E8" w14:textId="77777777">
        <w:trPr>
          <w:trHeight w:val="510"/>
          <w:jc w:val="center"/>
        </w:trPr>
        <w:tc>
          <w:tcPr>
            <w:tcW w:w="2605" w:type="dxa"/>
            <w:tcBorders>
              <w:top w:val="nil"/>
              <w:left w:val="single" w:sz="4" w:space="0" w:color="000000"/>
              <w:bottom w:val="single" w:sz="4" w:space="0" w:color="000000"/>
              <w:right w:val="single" w:sz="4" w:space="0" w:color="000000"/>
            </w:tcBorders>
            <w:vAlign w:val="center"/>
          </w:tcPr>
          <w:p w14:paraId="000000C8" w14:textId="77777777" w:rsidR="00CB252E" w:rsidRDefault="00000000">
            <w:pPr>
              <w:spacing w:before="240"/>
              <w:ind w:left="2" w:hanging="2"/>
              <w:jc w:val="both"/>
              <w:rPr>
                <w:color w:val="000000"/>
                <w:sz w:val="20"/>
                <w:szCs w:val="20"/>
              </w:rPr>
            </w:pPr>
            <w:r>
              <w:rPr>
                <w:color w:val="000000"/>
                <w:sz w:val="20"/>
                <w:szCs w:val="20"/>
              </w:rPr>
              <w:t>Activo por Impuestos</w:t>
            </w:r>
          </w:p>
        </w:tc>
        <w:tc>
          <w:tcPr>
            <w:tcW w:w="1370" w:type="dxa"/>
            <w:tcBorders>
              <w:top w:val="nil"/>
              <w:left w:val="nil"/>
              <w:bottom w:val="single" w:sz="4" w:space="0" w:color="000000"/>
              <w:right w:val="single" w:sz="4" w:space="0" w:color="000000"/>
            </w:tcBorders>
            <w:vAlign w:val="center"/>
          </w:tcPr>
          <w:p w14:paraId="000000C9" w14:textId="77777777" w:rsidR="00CB252E" w:rsidRDefault="00000000">
            <w:pPr>
              <w:spacing w:before="240"/>
              <w:ind w:left="2" w:hanging="2"/>
              <w:jc w:val="center"/>
              <w:rPr>
                <w:color w:val="000000"/>
                <w:sz w:val="20"/>
                <w:szCs w:val="20"/>
              </w:rPr>
            </w:pPr>
            <w:r>
              <w:rPr>
                <w:color w:val="000000"/>
                <w:sz w:val="20"/>
                <w:szCs w:val="20"/>
              </w:rPr>
              <w:t>570.000</w:t>
            </w:r>
          </w:p>
        </w:tc>
        <w:tc>
          <w:tcPr>
            <w:tcW w:w="1559" w:type="dxa"/>
            <w:tcBorders>
              <w:top w:val="nil"/>
              <w:left w:val="nil"/>
              <w:bottom w:val="single" w:sz="4" w:space="0" w:color="000000"/>
              <w:right w:val="single" w:sz="4" w:space="0" w:color="000000"/>
            </w:tcBorders>
            <w:vAlign w:val="center"/>
          </w:tcPr>
          <w:p w14:paraId="000000CA" w14:textId="77777777" w:rsidR="00CB252E" w:rsidRDefault="00CB252E">
            <w:pPr>
              <w:spacing w:before="240"/>
              <w:ind w:left="2" w:hanging="2"/>
              <w:jc w:val="center"/>
              <w:rPr>
                <w:color w:val="000000"/>
                <w:sz w:val="20"/>
                <w:szCs w:val="20"/>
              </w:rPr>
            </w:pPr>
          </w:p>
        </w:tc>
      </w:tr>
      <w:tr w:rsidR="00CB252E" w14:paraId="1B5C8FE7" w14:textId="77777777">
        <w:trPr>
          <w:trHeight w:val="255"/>
          <w:jc w:val="center"/>
        </w:trPr>
        <w:tc>
          <w:tcPr>
            <w:tcW w:w="2605" w:type="dxa"/>
            <w:tcBorders>
              <w:top w:val="nil"/>
              <w:left w:val="single" w:sz="4" w:space="0" w:color="000000"/>
              <w:bottom w:val="single" w:sz="4" w:space="0" w:color="000000"/>
              <w:right w:val="single" w:sz="4" w:space="0" w:color="000000"/>
            </w:tcBorders>
            <w:vAlign w:val="center"/>
          </w:tcPr>
          <w:p w14:paraId="000000CB" w14:textId="77777777" w:rsidR="00CB252E" w:rsidRDefault="00000000">
            <w:pPr>
              <w:spacing w:before="240"/>
              <w:ind w:left="2" w:hanging="2"/>
              <w:jc w:val="both"/>
              <w:rPr>
                <w:color w:val="000000"/>
                <w:sz w:val="20"/>
                <w:szCs w:val="20"/>
              </w:rPr>
            </w:pPr>
            <w:r>
              <w:rPr>
                <w:color w:val="000000"/>
                <w:sz w:val="20"/>
                <w:szCs w:val="20"/>
              </w:rPr>
              <w:t>Cuentas por Pagar</w:t>
            </w:r>
          </w:p>
        </w:tc>
        <w:tc>
          <w:tcPr>
            <w:tcW w:w="1370" w:type="dxa"/>
            <w:tcBorders>
              <w:top w:val="nil"/>
              <w:left w:val="nil"/>
              <w:bottom w:val="single" w:sz="4" w:space="0" w:color="000000"/>
              <w:right w:val="single" w:sz="4" w:space="0" w:color="000000"/>
            </w:tcBorders>
            <w:vAlign w:val="center"/>
          </w:tcPr>
          <w:p w14:paraId="000000CC" w14:textId="77777777" w:rsidR="00CB252E" w:rsidRDefault="00CB252E">
            <w:pPr>
              <w:spacing w:before="240"/>
              <w:ind w:left="2" w:hanging="2"/>
              <w:jc w:val="center"/>
              <w:rPr>
                <w:color w:val="000000"/>
                <w:sz w:val="20"/>
                <w:szCs w:val="20"/>
              </w:rPr>
            </w:pPr>
          </w:p>
        </w:tc>
        <w:tc>
          <w:tcPr>
            <w:tcW w:w="1559" w:type="dxa"/>
            <w:tcBorders>
              <w:top w:val="nil"/>
              <w:left w:val="nil"/>
              <w:bottom w:val="single" w:sz="4" w:space="0" w:color="000000"/>
              <w:right w:val="single" w:sz="4" w:space="0" w:color="000000"/>
            </w:tcBorders>
            <w:vAlign w:val="center"/>
          </w:tcPr>
          <w:p w14:paraId="000000CD" w14:textId="77777777" w:rsidR="00CB252E" w:rsidRDefault="00000000">
            <w:pPr>
              <w:spacing w:before="240"/>
              <w:ind w:left="2" w:hanging="2"/>
              <w:jc w:val="center"/>
              <w:rPr>
                <w:color w:val="000000"/>
                <w:sz w:val="20"/>
                <w:szCs w:val="20"/>
              </w:rPr>
            </w:pPr>
            <w:r>
              <w:rPr>
                <w:color w:val="000000"/>
                <w:sz w:val="20"/>
                <w:szCs w:val="20"/>
              </w:rPr>
              <w:t>3.570.000</w:t>
            </w:r>
          </w:p>
        </w:tc>
      </w:tr>
    </w:tbl>
    <w:p w14:paraId="000000CE" w14:textId="77777777" w:rsidR="00CB252E" w:rsidRDefault="00CB252E">
      <w:pPr>
        <w:spacing w:before="240"/>
        <w:ind w:left="2" w:hanging="2"/>
        <w:jc w:val="both"/>
        <w:rPr>
          <w:b/>
          <w:color w:val="000000"/>
          <w:sz w:val="20"/>
          <w:szCs w:val="20"/>
        </w:rPr>
      </w:pPr>
    </w:p>
    <w:p w14:paraId="000000CF" w14:textId="77777777" w:rsidR="00CB252E" w:rsidRDefault="00CB252E">
      <w:pPr>
        <w:spacing w:before="240"/>
        <w:ind w:left="2" w:hanging="2"/>
        <w:jc w:val="both"/>
        <w:rPr>
          <w:b/>
          <w:color w:val="000000"/>
          <w:sz w:val="20"/>
          <w:szCs w:val="20"/>
        </w:rPr>
      </w:pPr>
    </w:p>
    <w:p w14:paraId="000000D0" w14:textId="77777777" w:rsidR="00CB252E" w:rsidRDefault="00CB252E">
      <w:pPr>
        <w:spacing w:before="240"/>
        <w:ind w:left="2" w:hanging="2"/>
        <w:jc w:val="both"/>
        <w:rPr>
          <w:b/>
          <w:color w:val="000000"/>
          <w:sz w:val="20"/>
          <w:szCs w:val="20"/>
        </w:rPr>
      </w:pPr>
    </w:p>
    <w:p w14:paraId="000000D1" w14:textId="77777777" w:rsidR="00CB252E" w:rsidRDefault="00CB252E">
      <w:pPr>
        <w:spacing w:before="240"/>
        <w:ind w:left="2" w:hanging="2"/>
        <w:jc w:val="both"/>
        <w:rPr>
          <w:b/>
          <w:color w:val="000000"/>
          <w:sz w:val="20"/>
          <w:szCs w:val="20"/>
        </w:rPr>
      </w:pPr>
    </w:p>
    <w:p w14:paraId="000000D2" w14:textId="77777777" w:rsidR="00CB252E" w:rsidRDefault="00CB252E">
      <w:pPr>
        <w:spacing w:before="240"/>
        <w:ind w:left="2" w:hanging="2"/>
        <w:jc w:val="both"/>
        <w:rPr>
          <w:b/>
          <w:color w:val="000000"/>
          <w:sz w:val="20"/>
          <w:szCs w:val="20"/>
        </w:rPr>
      </w:pPr>
    </w:p>
    <w:p w14:paraId="000000D3" w14:textId="77777777" w:rsidR="00CB252E" w:rsidRDefault="00000000">
      <w:pPr>
        <w:spacing w:before="240"/>
        <w:ind w:left="2" w:hanging="2"/>
        <w:jc w:val="both"/>
        <w:rPr>
          <w:b/>
          <w:color w:val="000000"/>
          <w:sz w:val="20"/>
          <w:szCs w:val="20"/>
        </w:rPr>
      </w:pPr>
      <w:r>
        <w:rPr>
          <w:b/>
          <w:color w:val="000000"/>
          <w:sz w:val="20"/>
          <w:szCs w:val="20"/>
        </w:rPr>
        <w:t>Momento del pago</w:t>
      </w:r>
    </w:p>
    <w:p w14:paraId="000000D4" w14:textId="77777777" w:rsidR="00CB252E" w:rsidRDefault="00CB252E">
      <w:pPr>
        <w:spacing w:before="240"/>
        <w:ind w:left="2" w:hanging="2"/>
        <w:jc w:val="both"/>
        <w:rPr>
          <w:color w:val="000000"/>
          <w:sz w:val="20"/>
          <w:szCs w:val="20"/>
        </w:rPr>
      </w:pPr>
    </w:p>
    <w:tbl>
      <w:tblPr>
        <w:tblStyle w:val="af5"/>
        <w:tblW w:w="6096" w:type="dxa"/>
        <w:jc w:val="center"/>
        <w:tblInd w:w="0" w:type="dxa"/>
        <w:tblLayout w:type="fixed"/>
        <w:tblLook w:val="0400" w:firstRow="0" w:lastRow="0" w:firstColumn="0" w:lastColumn="0" w:noHBand="0" w:noVBand="1"/>
      </w:tblPr>
      <w:tblGrid>
        <w:gridCol w:w="2656"/>
        <w:gridCol w:w="1739"/>
        <w:gridCol w:w="1701"/>
      </w:tblGrid>
      <w:tr w:rsidR="00CB252E" w14:paraId="4909449E" w14:textId="77777777">
        <w:trPr>
          <w:trHeight w:val="205"/>
          <w:jc w:val="center"/>
        </w:trPr>
        <w:tc>
          <w:tcPr>
            <w:tcW w:w="2656" w:type="dxa"/>
            <w:tcBorders>
              <w:top w:val="single" w:sz="4" w:space="0" w:color="000000"/>
              <w:left w:val="single" w:sz="4" w:space="0" w:color="000000"/>
              <w:bottom w:val="single" w:sz="4" w:space="0" w:color="000000"/>
              <w:right w:val="single" w:sz="4" w:space="0" w:color="000000"/>
            </w:tcBorders>
            <w:shd w:val="clear" w:color="auto" w:fill="F2F2F2"/>
          </w:tcPr>
          <w:p w14:paraId="000000D5" w14:textId="77777777" w:rsidR="00CB252E" w:rsidRDefault="00000000">
            <w:pPr>
              <w:spacing w:before="240"/>
              <w:ind w:left="2" w:hanging="2"/>
              <w:jc w:val="center"/>
              <w:rPr>
                <w:color w:val="000000"/>
                <w:sz w:val="20"/>
                <w:szCs w:val="20"/>
              </w:rPr>
            </w:pPr>
            <w:r>
              <w:rPr>
                <w:b/>
                <w:color w:val="000000"/>
                <w:sz w:val="20"/>
                <w:szCs w:val="20"/>
              </w:rPr>
              <w:t>Cuenta</w:t>
            </w:r>
          </w:p>
        </w:tc>
        <w:tc>
          <w:tcPr>
            <w:tcW w:w="1739" w:type="dxa"/>
            <w:tcBorders>
              <w:top w:val="single" w:sz="4" w:space="0" w:color="000000"/>
              <w:left w:val="nil"/>
              <w:bottom w:val="single" w:sz="4" w:space="0" w:color="000000"/>
              <w:right w:val="single" w:sz="4" w:space="0" w:color="000000"/>
            </w:tcBorders>
            <w:shd w:val="clear" w:color="auto" w:fill="F2F2F2"/>
          </w:tcPr>
          <w:p w14:paraId="000000D6" w14:textId="77777777" w:rsidR="00CB252E" w:rsidRDefault="00000000">
            <w:pPr>
              <w:spacing w:before="240"/>
              <w:ind w:left="2" w:hanging="2"/>
              <w:jc w:val="center"/>
              <w:rPr>
                <w:color w:val="000000"/>
                <w:sz w:val="20"/>
                <w:szCs w:val="20"/>
              </w:rPr>
            </w:pPr>
            <w:r>
              <w:rPr>
                <w:b/>
                <w:color w:val="000000"/>
                <w:sz w:val="20"/>
                <w:szCs w:val="20"/>
              </w:rPr>
              <w:t>Debe</w:t>
            </w:r>
          </w:p>
        </w:tc>
        <w:tc>
          <w:tcPr>
            <w:tcW w:w="1701" w:type="dxa"/>
            <w:tcBorders>
              <w:top w:val="single" w:sz="4" w:space="0" w:color="000000"/>
              <w:left w:val="nil"/>
              <w:bottom w:val="single" w:sz="4" w:space="0" w:color="000000"/>
              <w:right w:val="single" w:sz="4" w:space="0" w:color="000000"/>
            </w:tcBorders>
            <w:shd w:val="clear" w:color="auto" w:fill="F2F2F2"/>
          </w:tcPr>
          <w:p w14:paraId="000000D7" w14:textId="77777777" w:rsidR="00CB252E" w:rsidRDefault="00000000">
            <w:pPr>
              <w:spacing w:before="240"/>
              <w:ind w:left="2" w:hanging="2"/>
              <w:jc w:val="center"/>
              <w:rPr>
                <w:color w:val="000000"/>
                <w:sz w:val="20"/>
                <w:szCs w:val="20"/>
              </w:rPr>
            </w:pPr>
            <w:r>
              <w:rPr>
                <w:b/>
                <w:color w:val="000000"/>
                <w:sz w:val="20"/>
                <w:szCs w:val="20"/>
              </w:rPr>
              <w:t>Haber</w:t>
            </w:r>
          </w:p>
        </w:tc>
      </w:tr>
      <w:tr w:rsidR="00CB252E" w14:paraId="039A47FB" w14:textId="77777777">
        <w:trPr>
          <w:trHeight w:val="269"/>
          <w:jc w:val="center"/>
        </w:trPr>
        <w:tc>
          <w:tcPr>
            <w:tcW w:w="2656" w:type="dxa"/>
            <w:tcBorders>
              <w:top w:val="nil"/>
              <w:left w:val="single" w:sz="4" w:space="0" w:color="000000"/>
              <w:bottom w:val="single" w:sz="4" w:space="0" w:color="000000"/>
              <w:right w:val="single" w:sz="4" w:space="0" w:color="000000"/>
            </w:tcBorders>
          </w:tcPr>
          <w:p w14:paraId="000000D8" w14:textId="77777777" w:rsidR="00CB252E" w:rsidRDefault="00000000">
            <w:pPr>
              <w:spacing w:before="240"/>
              <w:ind w:left="2" w:hanging="2"/>
              <w:jc w:val="center"/>
              <w:rPr>
                <w:color w:val="000000"/>
                <w:sz w:val="20"/>
                <w:szCs w:val="20"/>
              </w:rPr>
            </w:pPr>
            <w:r>
              <w:rPr>
                <w:color w:val="000000"/>
                <w:sz w:val="20"/>
                <w:szCs w:val="20"/>
              </w:rPr>
              <w:t>Cuentas por pagar</w:t>
            </w:r>
          </w:p>
        </w:tc>
        <w:tc>
          <w:tcPr>
            <w:tcW w:w="1739" w:type="dxa"/>
            <w:tcBorders>
              <w:top w:val="nil"/>
              <w:left w:val="nil"/>
              <w:bottom w:val="single" w:sz="4" w:space="0" w:color="000000"/>
              <w:right w:val="single" w:sz="4" w:space="0" w:color="000000"/>
            </w:tcBorders>
          </w:tcPr>
          <w:p w14:paraId="000000D9" w14:textId="77777777" w:rsidR="00CB252E" w:rsidRDefault="00000000">
            <w:pPr>
              <w:spacing w:before="240"/>
              <w:ind w:left="2" w:hanging="2"/>
              <w:jc w:val="center"/>
              <w:rPr>
                <w:color w:val="000000"/>
                <w:sz w:val="20"/>
                <w:szCs w:val="20"/>
              </w:rPr>
            </w:pPr>
            <w:r>
              <w:rPr>
                <w:color w:val="000000"/>
                <w:sz w:val="20"/>
                <w:szCs w:val="20"/>
              </w:rPr>
              <w:t>3.570.000</w:t>
            </w:r>
          </w:p>
        </w:tc>
        <w:tc>
          <w:tcPr>
            <w:tcW w:w="1701" w:type="dxa"/>
            <w:tcBorders>
              <w:top w:val="nil"/>
              <w:left w:val="nil"/>
              <w:bottom w:val="single" w:sz="4" w:space="0" w:color="000000"/>
              <w:right w:val="single" w:sz="4" w:space="0" w:color="000000"/>
            </w:tcBorders>
          </w:tcPr>
          <w:p w14:paraId="000000DA" w14:textId="77777777" w:rsidR="00CB252E" w:rsidRDefault="00CB252E">
            <w:pPr>
              <w:spacing w:before="240"/>
              <w:ind w:left="2" w:hanging="2"/>
              <w:jc w:val="center"/>
              <w:rPr>
                <w:color w:val="000000"/>
                <w:sz w:val="20"/>
                <w:szCs w:val="20"/>
              </w:rPr>
            </w:pPr>
          </w:p>
        </w:tc>
      </w:tr>
      <w:tr w:rsidR="00CB252E" w14:paraId="50C80ED9" w14:textId="77777777">
        <w:trPr>
          <w:trHeight w:val="459"/>
          <w:jc w:val="center"/>
        </w:trPr>
        <w:tc>
          <w:tcPr>
            <w:tcW w:w="2656" w:type="dxa"/>
            <w:tcBorders>
              <w:top w:val="nil"/>
              <w:left w:val="single" w:sz="4" w:space="0" w:color="000000"/>
              <w:bottom w:val="single" w:sz="4" w:space="0" w:color="000000"/>
              <w:right w:val="single" w:sz="4" w:space="0" w:color="000000"/>
            </w:tcBorders>
          </w:tcPr>
          <w:p w14:paraId="000000DB" w14:textId="77777777" w:rsidR="00CB252E" w:rsidRDefault="00000000">
            <w:pPr>
              <w:spacing w:before="240"/>
              <w:ind w:left="2" w:hanging="2"/>
              <w:jc w:val="center"/>
              <w:rPr>
                <w:color w:val="000000"/>
                <w:sz w:val="20"/>
                <w:szCs w:val="20"/>
              </w:rPr>
            </w:pPr>
            <w:r>
              <w:rPr>
                <w:color w:val="000000"/>
                <w:sz w:val="20"/>
                <w:szCs w:val="20"/>
              </w:rPr>
              <w:t>Activo- Bancos Nacionales</w:t>
            </w:r>
          </w:p>
        </w:tc>
        <w:tc>
          <w:tcPr>
            <w:tcW w:w="1739" w:type="dxa"/>
            <w:tcBorders>
              <w:top w:val="nil"/>
              <w:left w:val="nil"/>
              <w:bottom w:val="single" w:sz="4" w:space="0" w:color="000000"/>
              <w:right w:val="single" w:sz="4" w:space="0" w:color="000000"/>
            </w:tcBorders>
          </w:tcPr>
          <w:p w14:paraId="000000DC" w14:textId="77777777" w:rsidR="00CB252E" w:rsidRDefault="00CB252E">
            <w:pPr>
              <w:spacing w:before="240"/>
              <w:ind w:left="2" w:hanging="2"/>
              <w:jc w:val="center"/>
              <w:rPr>
                <w:color w:val="000000"/>
                <w:sz w:val="20"/>
                <w:szCs w:val="20"/>
              </w:rPr>
            </w:pPr>
          </w:p>
        </w:tc>
        <w:tc>
          <w:tcPr>
            <w:tcW w:w="1701" w:type="dxa"/>
            <w:tcBorders>
              <w:top w:val="nil"/>
              <w:left w:val="nil"/>
              <w:bottom w:val="single" w:sz="4" w:space="0" w:color="000000"/>
              <w:right w:val="single" w:sz="4" w:space="0" w:color="000000"/>
            </w:tcBorders>
          </w:tcPr>
          <w:p w14:paraId="000000DD" w14:textId="77777777" w:rsidR="00CB252E" w:rsidRDefault="00000000">
            <w:pPr>
              <w:spacing w:before="240"/>
              <w:ind w:left="2" w:hanging="2"/>
              <w:jc w:val="center"/>
              <w:rPr>
                <w:color w:val="000000"/>
                <w:sz w:val="20"/>
                <w:szCs w:val="20"/>
              </w:rPr>
            </w:pPr>
            <w:r>
              <w:rPr>
                <w:color w:val="000000"/>
                <w:sz w:val="20"/>
                <w:szCs w:val="20"/>
              </w:rPr>
              <w:t>3.570.000</w:t>
            </w:r>
          </w:p>
        </w:tc>
      </w:tr>
    </w:tbl>
    <w:p w14:paraId="000000DE" w14:textId="77777777" w:rsidR="00CB252E" w:rsidRDefault="00CB252E">
      <w:pPr>
        <w:spacing w:before="240"/>
        <w:ind w:left="2" w:hanging="2"/>
        <w:jc w:val="both"/>
        <w:rPr>
          <w:b/>
          <w:color w:val="000000"/>
          <w:sz w:val="20"/>
          <w:szCs w:val="20"/>
        </w:rPr>
      </w:pPr>
    </w:p>
    <w:p w14:paraId="000000DF" w14:textId="77777777" w:rsidR="00CB252E" w:rsidRDefault="00000000">
      <w:pPr>
        <w:spacing w:before="240"/>
        <w:ind w:left="2" w:hanging="2"/>
        <w:jc w:val="both"/>
        <w:rPr>
          <w:color w:val="000000"/>
          <w:sz w:val="20"/>
          <w:szCs w:val="20"/>
        </w:rPr>
      </w:pPr>
      <w:r>
        <w:rPr>
          <w:b/>
          <w:color w:val="000000"/>
          <w:sz w:val="20"/>
          <w:szCs w:val="20"/>
        </w:rPr>
        <w:t>Nota:</w:t>
      </w:r>
      <w:r>
        <w:rPr>
          <w:color w:val="000000"/>
          <w:sz w:val="20"/>
          <w:szCs w:val="20"/>
        </w:rPr>
        <w:t xml:space="preserve"> vale la pena aclarar que, aunque la norma internacional indica que todos los desembolsos deben reconocerse como gasto, queda a criterio de la entidad si, esta debe ser registrada como gastos o clasificarse como gastos pagados por anticipado.</w:t>
      </w:r>
    </w:p>
    <w:p w14:paraId="000000E0" w14:textId="77777777" w:rsidR="00CB252E" w:rsidRDefault="00000000">
      <w:pPr>
        <w:spacing w:before="240"/>
        <w:ind w:left="2" w:hanging="2"/>
        <w:jc w:val="both"/>
        <w:rPr>
          <w:color w:val="000000"/>
          <w:sz w:val="20"/>
          <w:szCs w:val="20"/>
        </w:rPr>
      </w:pPr>
      <w:r>
        <w:rPr>
          <w:b/>
          <w:color w:val="000000"/>
          <w:sz w:val="20"/>
          <w:szCs w:val="20"/>
        </w:rPr>
        <w:t>Manejo de anticipos</w:t>
      </w:r>
    </w:p>
    <w:p w14:paraId="000000E1" w14:textId="77777777" w:rsidR="00CB252E" w:rsidRDefault="00000000">
      <w:pPr>
        <w:spacing w:before="240"/>
        <w:ind w:left="2" w:hanging="2"/>
        <w:jc w:val="both"/>
        <w:rPr>
          <w:color w:val="000000"/>
          <w:sz w:val="20"/>
          <w:szCs w:val="20"/>
        </w:rPr>
      </w:pPr>
      <w:r>
        <w:rPr>
          <w:color w:val="000000"/>
          <w:sz w:val="20"/>
          <w:szCs w:val="20"/>
        </w:rPr>
        <w:t xml:space="preserve">El 1 de enero de 20xx la empresa SABACO Ltda., adquirió una póliza de seguros contra </w:t>
      </w:r>
      <w:r>
        <w:rPr>
          <w:sz w:val="20"/>
          <w:szCs w:val="20"/>
        </w:rPr>
        <w:t>incendios</w:t>
      </w:r>
      <w:r>
        <w:rPr>
          <w:color w:val="000000"/>
          <w:sz w:val="20"/>
          <w:szCs w:val="20"/>
        </w:rPr>
        <w:t xml:space="preserve"> por 1 año, por valor de </w:t>
      </w:r>
      <w:r>
        <w:rPr>
          <w:sz w:val="20"/>
          <w:szCs w:val="20"/>
        </w:rPr>
        <w:t>$4.000.000</w:t>
      </w:r>
      <w:r>
        <w:rPr>
          <w:color w:val="000000"/>
          <w:sz w:val="20"/>
          <w:szCs w:val="20"/>
        </w:rPr>
        <w:t xml:space="preserve"> mediante cheque girado del banco Davivienda.</w:t>
      </w:r>
    </w:p>
    <w:p w14:paraId="000000E2" w14:textId="77777777" w:rsidR="00CB252E" w:rsidRDefault="00000000">
      <w:pPr>
        <w:spacing w:before="240"/>
        <w:ind w:left="2" w:hanging="2"/>
        <w:jc w:val="both"/>
        <w:rPr>
          <w:color w:val="000000"/>
          <w:sz w:val="20"/>
          <w:szCs w:val="20"/>
        </w:rPr>
      </w:pPr>
      <w:r>
        <w:rPr>
          <w:b/>
          <w:color w:val="000000"/>
          <w:sz w:val="20"/>
          <w:szCs w:val="20"/>
        </w:rPr>
        <w:t>Reconocimiento compra póliza de seguros</w:t>
      </w:r>
    </w:p>
    <w:p w14:paraId="000000E3" w14:textId="77777777" w:rsidR="00CB252E" w:rsidRDefault="00CB252E">
      <w:pPr>
        <w:spacing w:before="240"/>
        <w:ind w:left="2" w:hanging="2"/>
        <w:jc w:val="both"/>
        <w:rPr>
          <w:color w:val="000000"/>
          <w:sz w:val="20"/>
          <w:szCs w:val="20"/>
        </w:rPr>
      </w:pPr>
    </w:p>
    <w:tbl>
      <w:tblPr>
        <w:tblStyle w:val="af6"/>
        <w:tblW w:w="7372" w:type="dxa"/>
        <w:jc w:val="center"/>
        <w:tblInd w:w="0" w:type="dxa"/>
        <w:tblLayout w:type="fixed"/>
        <w:tblLook w:val="0400" w:firstRow="0" w:lastRow="0" w:firstColumn="0" w:lastColumn="0" w:noHBand="0" w:noVBand="1"/>
      </w:tblPr>
      <w:tblGrid>
        <w:gridCol w:w="4212"/>
        <w:gridCol w:w="1368"/>
        <w:gridCol w:w="1792"/>
      </w:tblGrid>
      <w:tr w:rsidR="00CB252E" w14:paraId="25EE6A2F" w14:textId="77777777">
        <w:trPr>
          <w:trHeight w:val="251"/>
          <w:jc w:val="center"/>
        </w:trPr>
        <w:tc>
          <w:tcPr>
            <w:tcW w:w="421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E4" w14:textId="77777777" w:rsidR="00CB252E" w:rsidRDefault="00000000">
            <w:pPr>
              <w:spacing w:before="240"/>
              <w:ind w:left="2" w:hanging="2"/>
              <w:jc w:val="center"/>
              <w:rPr>
                <w:color w:val="000000"/>
                <w:sz w:val="20"/>
                <w:szCs w:val="20"/>
              </w:rPr>
            </w:pPr>
            <w:r>
              <w:rPr>
                <w:b/>
                <w:color w:val="000000"/>
                <w:sz w:val="20"/>
                <w:szCs w:val="20"/>
              </w:rPr>
              <w:t>Cuenta</w:t>
            </w:r>
          </w:p>
        </w:tc>
        <w:tc>
          <w:tcPr>
            <w:tcW w:w="1368" w:type="dxa"/>
            <w:tcBorders>
              <w:top w:val="single" w:sz="4" w:space="0" w:color="000000"/>
              <w:left w:val="nil"/>
              <w:bottom w:val="single" w:sz="4" w:space="0" w:color="000000"/>
              <w:right w:val="single" w:sz="4" w:space="0" w:color="000000"/>
            </w:tcBorders>
            <w:shd w:val="clear" w:color="auto" w:fill="F2F2F2"/>
            <w:vAlign w:val="center"/>
          </w:tcPr>
          <w:p w14:paraId="000000E5" w14:textId="77777777" w:rsidR="00CB252E" w:rsidRDefault="00000000">
            <w:pPr>
              <w:spacing w:before="240"/>
              <w:ind w:left="2" w:hanging="2"/>
              <w:jc w:val="center"/>
              <w:rPr>
                <w:color w:val="000000"/>
                <w:sz w:val="20"/>
                <w:szCs w:val="20"/>
              </w:rPr>
            </w:pPr>
            <w:r>
              <w:rPr>
                <w:b/>
                <w:color w:val="000000"/>
                <w:sz w:val="20"/>
                <w:szCs w:val="20"/>
              </w:rPr>
              <w:t>Debe</w:t>
            </w:r>
          </w:p>
        </w:tc>
        <w:tc>
          <w:tcPr>
            <w:tcW w:w="1792" w:type="dxa"/>
            <w:tcBorders>
              <w:top w:val="single" w:sz="4" w:space="0" w:color="000000"/>
              <w:left w:val="nil"/>
              <w:bottom w:val="single" w:sz="4" w:space="0" w:color="000000"/>
              <w:right w:val="single" w:sz="4" w:space="0" w:color="000000"/>
            </w:tcBorders>
            <w:shd w:val="clear" w:color="auto" w:fill="F2F2F2"/>
            <w:vAlign w:val="center"/>
          </w:tcPr>
          <w:p w14:paraId="000000E6" w14:textId="77777777" w:rsidR="00CB252E" w:rsidRDefault="00000000">
            <w:pPr>
              <w:spacing w:before="240"/>
              <w:ind w:left="2" w:hanging="2"/>
              <w:jc w:val="center"/>
              <w:rPr>
                <w:color w:val="000000"/>
                <w:sz w:val="20"/>
                <w:szCs w:val="20"/>
              </w:rPr>
            </w:pPr>
            <w:r>
              <w:rPr>
                <w:b/>
                <w:color w:val="000000"/>
                <w:sz w:val="20"/>
                <w:szCs w:val="20"/>
              </w:rPr>
              <w:t>Haber</w:t>
            </w:r>
          </w:p>
        </w:tc>
      </w:tr>
      <w:tr w:rsidR="00CB252E" w14:paraId="466C4E43" w14:textId="77777777">
        <w:trPr>
          <w:trHeight w:val="503"/>
          <w:jc w:val="center"/>
        </w:trPr>
        <w:tc>
          <w:tcPr>
            <w:tcW w:w="4212" w:type="dxa"/>
            <w:tcBorders>
              <w:top w:val="nil"/>
              <w:left w:val="single" w:sz="4" w:space="0" w:color="000000"/>
              <w:bottom w:val="single" w:sz="4" w:space="0" w:color="000000"/>
              <w:right w:val="single" w:sz="4" w:space="0" w:color="000000"/>
            </w:tcBorders>
            <w:vAlign w:val="center"/>
          </w:tcPr>
          <w:p w14:paraId="000000E7" w14:textId="77777777" w:rsidR="00CB252E" w:rsidRDefault="00000000">
            <w:pPr>
              <w:spacing w:before="240"/>
              <w:ind w:left="2" w:hanging="2"/>
              <w:jc w:val="center"/>
              <w:rPr>
                <w:color w:val="000000"/>
                <w:sz w:val="20"/>
                <w:szCs w:val="20"/>
              </w:rPr>
            </w:pPr>
            <w:r>
              <w:rPr>
                <w:color w:val="000000"/>
                <w:sz w:val="20"/>
                <w:szCs w:val="20"/>
              </w:rPr>
              <w:t>Activo- Póliza de Seguros- Incendios</w:t>
            </w:r>
          </w:p>
        </w:tc>
        <w:tc>
          <w:tcPr>
            <w:tcW w:w="1368" w:type="dxa"/>
            <w:tcBorders>
              <w:top w:val="nil"/>
              <w:left w:val="nil"/>
              <w:bottom w:val="single" w:sz="4" w:space="0" w:color="000000"/>
              <w:right w:val="single" w:sz="4" w:space="0" w:color="000000"/>
            </w:tcBorders>
            <w:vAlign w:val="center"/>
          </w:tcPr>
          <w:p w14:paraId="000000E8" w14:textId="77777777" w:rsidR="00CB252E" w:rsidRDefault="00000000">
            <w:pPr>
              <w:spacing w:before="240"/>
              <w:ind w:left="2" w:hanging="2"/>
              <w:jc w:val="center"/>
              <w:rPr>
                <w:color w:val="000000"/>
                <w:sz w:val="20"/>
                <w:szCs w:val="20"/>
              </w:rPr>
            </w:pPr>
            <w:r>
              <w:rPr>
                <w:color w:val="000000"/>
                <w:sz w:val="20"/>
                <w:szCs w:val="20"/>
              </w:rPr>
              <w:t>4.000.000</w:t>
            </w:r>
          </w:p>
        </w:tc>
        <w:tc>
          <w:tcPr>
            <w:tcW w:w="1792" w:type="dxa"/>
            <w:tcBorders>
              <w:top w:val="nil"/>
              <w:left w:val="nil"/>
              <w:bottom w:val="single" w:sz="4" w:space="0" w:color="000000"/>
              <w:right w:val="single" w:sz="4" w:space="0" w:color="000000"/>
            </w:tcBorders>
            <w:vAlign w:val="center"/>
          </w:tcPr>
          <w:p w14:paraId="000000E9" w14:textId="77777777" w:rsidR="00CB252E" w:rsidRDefault="00CB252E">
            <w:pPr>
              <w:spacing w:before="240"/>
              <w:ind w:left="2" w:hanging="2"/>
              <w:jc w:val="center"/>
              <w:rPr>
                <w:color w:val="000000"/>
                <w:sz w:val="20"/>
                <w:szCs w:val="20"/>
              </w:rPr>
            </w:pPr>
          </w:p>
        </w:tc>
      </w:tr>
      <w:tr w:rsidR="00CB252E" w14:paraId="44033B3A" w14:textId="77777777">
        <w:trPr>
          <w:trHeight w:val="251"/>
          <w:jc w:val="center"/>
        </w:trPr>
        <w:tc>
          <w:tcPr>
            <w:tcW w:w="4212" w:type="dxa"/>
            <w:tcBorders>
              <w:top w:val="nil"/>
              <w:left w:val="single" w:sz="4" w:space="0" w:color="000000"/>
              <w:bottom w:val="single" w:sz="4" w:space="0" w:color="000000"/>
              <w:right w:val="single" w:sz="4" w:space="0" w:color="000000"/>
            </w:tcBorders>
            <w:vAlign w:val="center"/>
          </w:tcPr>
          <w:p w14:paraId="000000EA" w14:textId="77777777" w:rsidR="00CB252E" w:rsidRDefault="00000000">
            <w:pPr>
              <w:spacing w:before="240"/>
              <w:ind w:left="2" w:hanging="2"/>
              <w:jc w:val="center"/>
              <w:rPr>
                <w:color w:val="000000"/>
                <w:sz w:val="20"/>
                <w:szCs w:val="20"/>
              </w:rPr>
            </w:pPr>
            <w:r>
              <w:rPr>
                <w:color w:val="000000"/>
                <w:sz w:val="20"/>
                <w:szCs w:val="20"/>
              </w:rPr>
              <w:t>Cuentas por Pagar</w:t>
            </w:r>
          </w:p>
        </w:tc>
        <w:tc>
          <w:tcPr>
            <w:tcW w:w="1368" w:type="dxa"/>
            <w:tcBorders>
              <w:top w:val="nil"/>
              <w:left w:val="nil"/>
              <w:bottom w:val="single" w:sz="4" w:space="0" w:color="000000"/>
              <w:right w:val="single" w:sz="4" w:space="0" w:color="000000"/>
            </w:tcBorders>
            <w:vAlign w:val="center"/>
          </w:tcPr>
          <w:p w14:paraId="000000EB" w14:textId="77777777" w:rsidR="00CB252E" w:rsidRDefault="00CB252E">
            <w:pPr>
              <w:spacing w:before="240"/>
              <w:ind w:left="2" w:hanging="2"/>
              <w:jc w:val="center"/>
              <w:rPr>
                <w:color w:val="000000"/>
                <w:sz w:val="20"/>
                <w:szCs w:val="20"/>
              </w:rPr>
            </w:pPr>
          </w:p>
        </w:tc>
        <w:tc>
          <w:tcPr>
            <w:tcW w:w="1792" w:type="dxa"/>
            <w:tcBorders>
              <w:top w:val="nil"/>
              <w:left w:val="nil"/>
              <w:bottom w:val="single" w:sz="4" w:space="0" w:color="000000"/>
              <w:right w:val="single" w:sz="4" w:space="0" w:color="000000"/>
            </w:tcBorders>
            <w:vAlign w:val="center"/>
          </w:tcPr>
          <w:p w14:paraId="000000EC" w14:textId="77777777" w:rsidR="00CB252E" w:rsidRDefault="00000000">
            <w:pPr>
              <w:spacing w:before="240"/>
              <w:ind w:left="2" w:hanging="2"/>
              <w:jc w:val="center"/>
              <w:rPr>
                <w:color w:val="000000"/>
                <w:sz w:val="20"/>
                <w:szCs w:val="20"/>
              </w:rPr>
            </w:pPr>
            <w:r>
              <w:rPr>
                <w:color w:val="000000"/>
                <w:sz w:val="20"/>
                <w:szCs w:val="20"/>
              </w:rPr>
              <w:t>4.000.000</w:t>
            </w:r>
          </w:p>
        </w:tc>
      </w:tr>
    </w:tbl>
    <w:p w14:paraId="000000ED" w14:textId="77777777" w:rsidR="00CB252E" w:rsidRDefault="00CB252E">
      <w:pPr>
        <w:spacing w:before="240"/>
        <w:ind w:left="2" w:hanging="2"/>
        <w:jc w:val="both"/>
        <w:rPr>
          <w:b/>
          <w:color w:val="000000"/>
          <w:sz w:val="20"/>
          <w:szCs w:val="20"/>
        </w:rPr>
      </w:pPr>
    </w:p>
    <w:p w14:paraId="000000EE" w14:textId="77777777" w:rsidR="00CB252E" w:rsidRDefault="00000000">
      <w:pPr>
        <w:spacing w:before="240"/>
        <w:ind w:left="2" w:hanging="2"/>
        <w:jc w:val="both"/>
        <w:rPr>
          <w:color w:val="000000"/>
          <w:sz w:val="20"/>
          <w:szCs w:val="20"/>
        </w:rPr>
      </w:pPr>
      <w:r>
        <w:rPr>
          <w:b/>
          <w:color w:val="000000"/>
          <w:sz w:val="20"/>
          <w:szCs w:val="20"/>
        </w:rPr>
        <w:t>Momento del pago</w:t>
      </w:r>
    </w:p>
    <w:p w14:paraId="000000EF" w14:textId="77777777" w:rsidR="00CB252E" w:rsidRDefault="00CB252E">
      <w:pPr>
        <w:spacing w:before="240"/>
        <w:ind w:left="2" w:hanging="2"/>
        <w:jc w:val="both"/>
        <w:rPr>
          <w:color w:val="000000"/>
          <w:sz w:val="20"/>
          <w:szCs w:val="20"/>
        </w:rPr>
      </w:pPr>
    </w:p>
    <w:tbl>
      <w:tblPr>
        <w:tblStyle w:val="af7"/>
        <w:tblW w:w="6532" w:type="dxa"/>
        <w:jc w:val="center"/>
        <w:tblInd w:w="0" w:type="dxa"/>
        <w:tblLayout w:type="fixed"/>
        <w:tblLook w:val="0400" w:firstRow="0" w:lastRow="0" w:firstColumn="0" w:lastColumn="0" w:noHBand="0" w:noVBand="1"/>
      </w:tblPr>
      <w:tblGrid>
        <w:gridCol w:w="3681"/>
        <w:gridCol w:w="1417"/>
        <w:gridCol w:w="1434"/>
      </w:tblGrid>
      <w:tr w:rsidR="00CB252E" w14:paraId="4B040692" w14:textId="77777777">
        <w:trPr>
          <w:trHeight w:val="248"/>
          <w:jc w:val="center"/>
        </w:trPr>
        <w:tc>
          <w:tcPr>
            <w:tcW w:w="368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F0" w14:textId="77777777" w:rsidR="00CB252E" w:rsidRDefault="00000000">
            <w:pPr>
              <w:spacing w:before="240"/>
              <w:ind w:left="2" w:hanging="2"/>
              <w:jc w:val="center"/>
              <w:rPr>
                <w:color w:val="000000"/>
                <w:sz w:val="20"/>
                <w:szCs w:val="20"/>
              </w:rPr>
            </w:pPr>
            <w:r>
              <w:rPr>
                <w:b/>
                <w:color w:val="000000"/>
                <w:sz w:val="20"/>
                <w:szCs w:val="20"/>
              </w:rPr>
              <w:t>Cuenta</w:t>
            </w:r>
          </w:p>
        </w:tc>
        <w:tc>
          <w:tcPr>
            <w:tcW w:w="1417" w:type="dxa"/>
            <w:tcBorders>
              <w:top w:val="single" w:sz="4" w:space="0" w:color="000000"/>
              <w:left w:val="nil"/>
              <w:bottom w:val="single" w:sz="4" w:space="0" w:color="000000"/>
              <w:right w:val="single" w:sz="4" w:space="0" w:color="000000"/>
            </w:tcBorders>
            <w:shd w:val="clear" w:color="auto" w:fill="F2F2F2"/>
            <w:vAlign w:val="center"/>
          </w:tcPr>
          <w:p w14:paraId="000000F1" w14:textId="77777777" w:rsidR="00CB252E" w:rsidRDefault="00000000">
            <w:pPr>
              <w:spacing w:before="240"/>
              <w:ind w:left="2" w:hanging="2"/>
              <w:jc w:val="center"/>
              <w:rPr>
                <w:color w:val="000000"/>
                <w:sz w:val="20"/>
                <w:szCs w:val="20"/>
              </w:rPr>
            </w:pPr>
            <w:r>
              <w:rPr>
                <w:b/>
                <w:color w:val="000000"/>
                <w:sz w:val="20"/>
                <w:szCs w:val="20"/>
              </w:rPr>
              <w:t>Debe</w:t>
            </w:r>
          </w:p>
        </w:tc>
        <w:tc>
          <w:tcPr>
            <w:tcW w:w="1434" w:type="dxa"/>
            <w:tcBorders>
              <w:top w:val="single" w:sz="4" w:space="0" w:color="000000"/>
              <w:left w:val="nil"/>
              <w:bottom w:val="single" w:sz="4" w:space="0" w:color="000000"/>
              <w:right w:val="single" w:sz="4" w:space="0" w:color="000000"/>
            </w:tcBorders>
            <w:shd w:val="clear" w:color="auto" w:fill="F2F2F2"/>
            <w:vAlign w:val="center"/>
          </w:tcPr>
          <w:p w14:paraId="000000F2" w14:textId="77777777" w:rsidR="00CB252E" w:rsidRDefault="00000000">
            <w:pPr>
              <w:spacing w:before="240"/>
              <w:ind w:left="2" w:hanging="2"/>
              <w:jc w:val="center"/>
              <w:rPr>
                <w:color w:val="000000"/>
                <w:sz w:val="20"/>
                <w:szCs w:val="20"/>
              </w:rPr>
            </w:pPr>
            <w:r>
              <w:rPr>
                <w:b/>
                <w:color w:val="000000"/>
                <w:sz w:val="20"/>
                <w:szCs w:val="20"/>
              </w:rPr>
              <w:t>Haber</w:t>
            </w:r>
          </w:p>
        </w:tc>
      </w:tr>
      <w:tr w:rsidR="00CB252E" w14:paraId="747CFB75" w14:textId="77777777">
        <w:trPr>
          <w:trHeight w:val="473"/>
          <w:jc w:val="center"/>
        </w:trPr>
        <w:tc>
          <w:tcPr>
            <w:tcW w:w="3681" w:type="dxa"/>
            <w:tcBorders>
              <w:top w:val="nil"/>
              <w:left w:val="single" w:sz="4" w:space="0" w:color="000000"/>
              <w:bottom w:val="single" w:sz="4" w:space="0" w:color="000000"/>
              <w:right w:val="single" w:sz="4" w:space="0" w:color="000000"/>
            </w:tcBorders>
            <w:vAlign w:val="center"/>
          </w:tcPr>
          <w:p w14:paraId="000000F3" w14:textId="77777777" w:rsidR="00CB252E" w:rsidRDefault="00000000">
            <w:pPr>
              <w:spacing w:before="240"/>
              <w:ind w:left="2" w:hanging="2"/>
              <w:jc w:val="center"/>
              <w:rPr>
                <w:color w:val="000000"/>
                <w:sz w:val="20"/>
                <w:szCs w:val="20"/>
              </w:rPr>
            </w:pPr>
            <w:r>
              <w:rPr>
                <w:color w:val="000000"/>
                <w:sz w:val="20"/>
                <w:szCs w:val="20"/>
              </w:rPr>
              <w:t>Cuentas por Pagar</w:t>
            </w:r>
          </w:p>
        </w:tc>
        <w:tc>
          <w:tcPr>
            <w:tcW w:w="1417" w:type="dxa"/>
            <w:tcBorders>
              <w:top w:val="nil"/>
              <w:left w:val="nil"/>
              <w:bottom w:val="single" w:sz="4" w:space="0" w:color="000000"/>
              <w:right w:val="single" w:sz="4" w:space="0" w:color="000000"/>
            </w:tcBorders>
            <w:vAlign w:val="center"/>
          </w:tcPr>
          <w:p w14:paraId="000000F4" w14:textId="77777777" w:rsidR="00CB252E" w:rsidRDefault="00000000">
            <w:pPr>
              <w:spacing w:before="240"/>
              <w:ind w:left="2" w:hanging="2"/>
              <w:jc w:val="center"/>
              <w:rPr>
                <w:color w:val="000000"/>
                <w:sz w:val="20"/>
                <w:szCs w:val="20"/>
              </w:rPr>
            </w:pPr>
            <w:r>
              <w:rPr>
                <w:color w:val="000000"/>
                <w:sz w:val="20"/>
                <w:szCs w:val="20"/>
              </w:rPr>
              <w:t>4.000.000</w:t>
            </w:r>
          </w:p>
        </w:tc>
        <w:tc>
          <w:tcPr>
            <w:tcW w:w="1434" w:type="dxa"/>
            <w:tcBorders>
              <w:top w:val="nil"/>
              <w:left w:val="nil"/>
              <w:bottom w:val="single" w:sz="4" w:space="0" w:color="000000"/>
              <w:right w:val="single" w:sz="4" w:space="0" w:color="000000"/>
            </w:tcBorders>
            <w:vAlign w:val="center"/>
          </w:tcPr>
          <w:p w14:paraId="000000F5" w14:textId="77777777" w:rsidR="00CB252E" w:rsidRDefault="00CB252E">
            <w:pPr>
              <w:spacing w:before="240"/>
              <w:ind w:left="2" w:hanging="2"/>
              <w:jc w:val="center"/>
              <w:rPr>
                <w:color w:val="000000"/>
                <w:sz w:val="20"/>
                <w:szCs w:val="20"/>
              </w:rPr>
            </w:pPr>
          </w:p>
        </w:tc>
      </w:tr>
      <w:tr w:rsidR="00CB252E" w14:paraId="79C7B156" w14:textId="77777777">
        <w:trPr>
          <w:trHeight w:val="497"/>
          <w:jc w:val="center"/>
        </w:trPr>
        <w:tc>
          <w:tcPr>
            <w:tcW w:w="3681" w:type="dxa"/>
            <w:tcBorders>
              <w:top w:val="nil"/>
              <w:left w:val="single" w:sz="4" w:space="0" w:color="000000"/>
              <w:bottom w:val="single" w:sz="4" w:space="0" w:color="000000"/>
              <w:right w:val="single" w:sz="4" w:space="0" w:color="000000"/>
            </w:tcBorders>
            <w:vAlign w:val="center"/>
          </w:tcPr>
          <w:p w14:paraId="000000F6" w14:textId="77777777" w:rsidR="00CB252E" w:rsidRDefault="00000000">
            <w:pPr>
              <w:spacing w:before="240"/>
              <w:ind w:left="2" w:hanging="2"/>
              <w:jc w:val="center"/>
              <w:rPr>
                <w:color w:val="000000"/>
                <w:sz w:val="20"/>
                <w:szCs w:val="20"/>
              </w:rPr>
            </w:pPr>
            <w:r>
              <w:rPr>
                <w:color w:val="000000"/>
                <w:sz w:val="20"/>
                <w:szCs w:val="20"/>
              </w:rPr>
              <w:t>Activo- Bancos Nacionales Davivienda</w:t>
            </w:r>
          </w:p>
        </w:tc>
        <w:tc>
          <w:tcPr>
            <w:tcW w:w="1417" w:type="dxa"/>
            <w:tcBorders>
              <w:top w:val="nil"/>
              <w:left w:val="nil"/>
              <w:bottom w:val="single" w:sz="4" w:space="0" w:color="000000"/>
              <w:right w:val="single" w:sz="4" w:space="0" w:color="000000"/>
            </w:tcBorders>
            <w:vAlign w:val="center"/>
          </w:tcPr>
          <w:p w14:paraId="000000F7" w14:textId="77777777" w:rsidR="00CB252E" w:rsidRDefault="00CB252E">
            <w:pPr>
              <w:spacing w:before="240"/>
              <w:ind w:left="2" w:hanging="2"/>
              <w:jc w:val="center"/>
              <w:rPr>
                <w:color w:val="000000"/>
                <w:sz w:val="20"/>
                <w:szCs w:val="20"/>
              </w:rPr>
            </w:pPr>
          </w:p>
        </w:tc>
        <w:tc>
          <w:tcPr>
            <w:tcW w:w="1434" w:type="dxa"/>
            <w:tcBorders>
              <w:top w:val="nil"/>
              <w:left w:val="nil"/>
              <w:bottom w:val="single" w:sz="4" w:space="0" w:color="000000"/>
              <w:right w:val="single" w:sz="4" w:space="0" w:color="000000"/>
            </w:tcBorders>
            <w:vAlign w:val="center"/>
          </w:tcPr>
          <w:p w14:paraId="000000F8" w14:textId="77777777" w:rsidR="00CB252E" w:rsidRDefault="00000000">
            <w:pPr>
              <w:spacing w:before="240"/>
              <w:ind w:left="2" w:hanging="2"/>
              <w:jc w:val="center"/>
              <w:rPr>
                <w:color w:val="000000"/>
                <w:sz w:val="20"/>
                <w:szCs w:val="20"/>
              </w:rPr>
            </w:pPr>
            <w:r>
              <w:rPr>
                <w:color w:val="000000"/>
                <w:sz w:val="20"/>
                <w:szCs w:val="20"/>
              </w:rPr>
              <w:t>4.000.000</w:t>
            </w:r>
          </w:p>
        </w:tc>
      </w:tr>
    </w:tbl>
    <w:p w14:paraId="000000F9" w14:textId="77777777" w:rsidR="00CB252E" w:rsidRDefault="00CB252E">
      <w:pPr>
        <w:spacing w:before="240"/>
        <w:ind w:left="2" w:hanging="2"/>
        <w:jc w:val="both"/>
        <w:rPr>
          <w:color w:val="000000"/>
          <w:sz w:val="20"/>
          <w:szCs w:val="20"/>
        </w:rPr>
      </w:pPr>
    </w:p>
    <w:p w14:paraId="000000FA" w14:textId="77777777" w:rsidR="00CB252E" w:rsidRDefault="00000000">
      <w:pPr>
        <w:spacing w:before="240"/>
        <w:ind w:left="2" w:hanging="2"/>
        <w:jc w:val="both"/>
        <w:rPr>
          <w:color w:val="000000"/>
          <w:sz w:val="20"/>
          <w:szCs w:val="20"/>
        </w:rPr>
      </w:pPr>
      <w:r>
        <w:rPr>
          <w:color w:val="000000"/>
          <w:sz w:val="20"/>
          <w:szCs w:val="20"/>
        </w:rPr>
        <w:lastRenderedPageBreak/>
        <w:t xml:space="preserve">La empresa mensualmente debe hacer un asiento de ajuste para reconocer en el estado de resultados el gasto por póliza de seguros de cada periodo así: </w:t>
      </w:r>
    </w:p>
    <w:p w14:paraId="000000FB" w14:textId="77777777" w:rsidR="00CB252E" w:rsidRDefault="00CB252E">
      <w:pPr>
        <w:spacing w:before="240"/>
        <w:ind w:left="2" w:hanging="2"/>
        <w:jc w:val="both"/>
        <w:rPr>
          <w:color w:val="000000"/>
          <w:sz w:val="20"/>
          <w:szCs w:val="20"/>
        </w:rPr>
      </w:pPr>
    </w:p>
    <w:p w14:paraId="000000FC" w14:textId="77777777" w:rsidR="00CB252E" w:rsidRDefault="00000000">
      <w:pPr>
        <w:spacing w:before="240"/>
        <w:ind w:left="2" w:hanging="2"/>
        <w:jc w:val="both"/>
        <w:rPr>
          <w:color w:val="000000"/>
          <w:sz w:val="20"/>
          <w:szCs w:val="20"/>
        </w:rPr>
      </w:pPr>
      <w:r>
        <w:rPr>
          <w:color w:val="000000"/>
          <w:sz w:val="20"/>
          <w:szCs w:val="20"/>
        </w:rPr>
        <w:t>Enero 31 del año 20xx</w:t>
      </w:r>
    </w:p>
    <w:p w14:paraId="000000FD" w14:textId="77777777" w:rsidR="00CB252E" w:rsidRDefault="00CB252E">
      <w:pPr>
        <w:spacing w:before="240"/>
        <w:ind w:left="2" w:hanging="2"/>
        <w:jc w:val="both"/>
        <w:rPr>
          <w:color w:val="000000"/>
          <w:sz w:val="20"/>
          <w:szCs w:val="20"/>
        </w:rPr>
      </w:pPr>
    </w:p>
    <w:tbl>
      <w:tblPr>
        <w:tblStyle w:val="af8"/>
        <w:tblW w:w="7088" w:type="dxa"/>
        <w:jc w:val="center"/>
        <w:tblInd w:w="0" w:type="dxa"/>
        <w:tblLayout w:type="fixed"/>
        <w:tblLook w:val="0400" w:firstRow="0" w:lastRow="0" w:firstColumn="0" w:lastColumn="0" w:noHBand="0" w:noVBand="1"/>
      </w:tblPr>
      <w:tblGrid>
        <w:gridCol w:w="3781"/>
        <w:gridCol w:w="1748"/>
        <w:gridCol w:w="1559"/>
      </w:tblGrid>
      <w:tr w:rsidR="00CB252E" w14:paraId="7CEB1791" w14:textId="77777777">
        <w:trPr>
          <w:trHeight w:val="221"/>
          <w:jc w:val="center"/>
        </w:trPr>
        <w:tc>
          <w:tcPr>
            <w:tcW w:w="378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FE" w14:textId="77777777" w:rsidR="00CB252E" w:rsidRDefault="00000000">
            <w:pPr>
              <w:spacing w:before="240"/>
              <w:ind w:left="2" w:hanging="2"/>
              <w:jc w:val="center"/>
              <w:rPr>
                <w:color w:val="000000"/>
                <w:sz w:val="20"/>
                <w:szCs w:val="20"/>
              </w:rPr>
            </w:pPr>
            <w:r>
              <w:rPr>
                <w:b/>
                <w:color w:val="000000"/>
                <w:sz w:val="20"/>
                <w:szCs w:val="20"/>
              </w:rPr>
              <w:t>Cuenta</w:t>
            </w:r>
          </w:p>
        </w:tc>
        <w:tc>
          <w:tcPr>
            <w:tcW w:w="1748" w:type="dxa"/>
            <w:tcBorders>
              <w:top w:val="single" w:sz="4" w:space="0" w:color="000000"/>
              <w:left w:val="nil"/>
              <w:bottom w:val="single" w:sz="4" w:space="0" w:color="000000"/>
              <w:right w:val="single" w:sz="4" w:space="0" w:color="000000"/>
            </w:tcBorders>
            <w:shd w:val="clear" w:color="auto" w:fill="F2F2F2"/>
            <w:vAlign w:val="center"/>
          </w:tcPr>
          <w:p w14:paraId="000000FF" w14:textId="77777777" w:rsidR="00CB252E" w:rsidRDefault="00000000">
            <w:pPr>
              <w:spacing w:before="240"/>
              <w:ind w:left="2" w:hanging="2"/>
              <w:jc w:val="center"/>
              <w:rPr>
                <w:color w:val="000000"/>
                <w:sz w:val="20"/>
                <w:szCs w:val="20"/>
              </w:rPr>
            </w:pPr>
            <w:r>
              <w:rPr>
                <w:b/>
                <w:color w:val="000000"/>
                <w:sz w:val="20"/>
                <w:szCs w:val="20"/>
              </w:rPr>
              <w:t>Debe</w:t>
            </w:r>
          </w:p>
        </w:tc>
        <w:tc>
          <w:tcPr>
            <w:tcW w:w="1559" w:type="dxa"/>
            <w:tcBorders>
              <w:top w:val="single" w:sz="4" w:space="0" w:color="000000"/>
              <w:left w:val="nil"/>
              <w:bottom w:val="single" w:sz="4" w:space="0" w:color="000000"/>
              <w:right w:val="single" w:sz="4" w:space="0" w:color="000000"/>
            </w:tcBorders>
            <w:shd w:val="clear" w:color="auto" w:fill="F2F2F2"/>
            <w:vAlign w:val="center"/>
          </w:tcPr>
          <w:p w14:paraId="00000100" w14:textId="77777777" w:rsidR="00CB252E" w:rsidRDefault="00000000">
            <w:pPr>
              <w:spacing w:before="240"/>
              <w:ind w:left="2" w:hanging="2"/>
              <w:jc w:val="center"/>
              <w:rPr>
                <w:color w:val="000000"/>
                <w:sz w:val="20"/>
                <w:szCs w:val="20"/>
              </w:rPr>
            </w:pPr>
            <w:r>
              <w:rPr>
                <w:b/>
                <w:color w:val="000000"/>
                <w:sz w:val="20"/>
                <w:szCs w:val="20"/>
              </w:rPr>
              <w:t>Haber</w:t>
            </w:r>
          </w:p>
        </w:tc>
      </w:tr>
      <w:tr w:rsidR="00CB252E" w14:paraId="61F40218" w14:textId="77777777">
        <w:trPr>
          <w:trHeight w:val="442"/>
          <w:jc w:val="center"/>
        </w:trPr>
        <w:tc>
          <w:tcPr>
            <w:tcW w:w="3781" w:type="dxa"/>
            <w:tcBorders>
              <w:top w:val="nil"/>
              <w:left w:val="single" w:sz="4" w:space="0" w:color="000000"/>
              <w:bottom w:val="single" w:sz="4" w:space="0" w:color="000000"/>
              <w:right w:val="single" w:sz="4" w:space="0" w:color="000000"/>
            </w:tcBorders>
            <w:vAlign w:val="center"/>
          </w:tcPr>
          <w:p w14:paraId="00000101" w14:textId="77777777" w:rsidR="00CB252E" w:rsidRDefault="00000000">
            <w:pPr>
              <w:spacing w:before="240"/>
              <w:ind w:left="2" w:hanging="2"/>
              <w:jc w:val="center"/>
              <w:rPr>
                <w:color w:val="000000"/>
                <w:sz w:val="20"/>
                <w:szCs w:val="20"/>
              </w:rPr>
            </w:pPr>
            <w:r>
              <w:rPr>
                <w:color w:val="000000"/>
                <w:sz w:val="20"/>
                <w:szCs w:val="20"/>
              </w:rPr>
              <w:t>Gasto - Póliza de Seguros- Incendios</w:t>
            </w:r>
          </w:p>
        </w:tc>
        <w:tc>
          <w:tcPr>
            <w:tcW w:w="1748" w:type="dxa"/>
            <w:tcBorders>
              <w:top w:val="nil"/>
              <w:left w:val="nil"/>
              <w:bottom w:val="single" w:sz="4" w:space="0" w:color="000000"/>
              <w:right w:val="single" w:sz="4" w:space="0" w:color="000000"/>
            </w:tcBorders>
            <w:vAlign w:val="center"/>
          </w:tcPr>
          <w:p w14:paraId="00000102" w14:textId="77777777" w:rsidR="00CB252E" w:rsidRDefault="00000000">
            <w:pPr>
              <w:spacing w:before="240"/>
              <w:ind w:left="2" w:hanging="2"/>
              <w:jc w:val="center"/>
              <w:rPr>
                <w:color w:val="000000"/>
                <w:sz w:val="20"/>
                <w:szCs w:val="20"/>
              </w:rPr>
            </w:pPr>
            <w:r>
              <w:rPr>
                <w:color w:val="000000"/>
                <w:sz w:val="20"/>
                <w:szCs w:val="20"/>
              </w:rPr>
              <w:t>333.333</w:t>
            </w:r>
          </w:p>
        </w:tc>
        <w:tc>
          <w:tcPr>
            <w:tcW w:w="1559" w:type="dxa"/>
            <w:tcBorders>
              <w:top w:val="nil"/>
              <w:left w:val="nil"/>
              <w:bottom w:val="single" w:sz="4" w:space="0" w:color="000000"/>
              <w:right w:val="single" w:sz="4" w:space="0" w:color="000000"/>
            </w:tcBorders>
            <w:vAlign w:val="center"/>
          </w:tcPr>
          <w:p w14:paraId="00000103" w14:textId="77777777" w:rsidR="00CB252E" w:rsidRDefault="00CB252E">
            <w:pPr>
              <w:spacing w:before="240"/>
              <w:ind w:left="2" w:hanging="2"/>
              <w:jc w:val="center"/>
              <w:rPr>
                <w:color w:val="000000"/>
                <w:sz w:val="20"/>
                <w:szCs w:val="20"/>
              </w:rPr>
            </w:pPr>
          </w:p>
        </w:tc>
      </w:tr>
      <w:tr w:rsidR="00CB252E" w14:paraId="69014CA0" w14:textId="77777777">
        <w:trPr>
          <w:trHeight w:val="442"/>
          <w:jc w:val="center"/>
        </w:trPr>
        <w:tc>
          <w:tcPr>
            <w:tcW w:w="3781" w:type="dxa"/>
            <w:tcBorders>
              <w:top w:val="nil"/>
              <w:left w:val="single" w:sz="4" w:space="0" w:color="000000"/>
              <w:bottom w:val="single" w:sz="4" w:space="0" w:color="000000"/>
              <w:right w:val="single" w:sz="4" w:space="0" w:color="000000"/>
            </w:tcBorders>
            <w:vAlign w:val="center"/>
          </w:tcPr>
          <w:p w14:paraId="00000104" w14:textId="77777777" w:rsidR="00CB252E" w:rsidRDefault="00000000">
            <w:pPr>
              <w:spacing w:before="240"/>
              <w:ind w:left="2" w:hanging="2"/>
              <w:jc w:val="center"/>
              <w:rPr>
                <w:color w:val="000000"/>
                <w:sz w:val="20"/>
                <w:szCs w:val="20"/>
              </w:rPr>
            </w:pPr>
            <w:r>
              <w:rPr>
                <w:color w:val="000000"/>
                <w:sz w:val="20"/>
                <w:szCs w:val="20"/>
              </w:rPr>
              <w:t>Activo Póliza de Seguros- Incendios</w:t>
            </w:r>
          </w:p>
        </w:tc>
        <w:tc>
          <w:tcPr>
            <w:tcW w:w="1748" w:type="dxa"/>
            <w:tcBorders>
              <w:top w:val="nil"/>
              <w:left w:val="nil"/>
              <w:bottom w:val="single" w:sz="4" w:space="0" w:color="000000"/>
              <w:right w:val="single" w:sz="4" w:space="0" w:color="000000"/>
            </w:tcBorders>
            <w:vAlign w:val="center"/>
          </w:tcPr>
          <w:p w14:paraId="00000105" w14:textId="77777777" w:rsidR="00CB252E" w:rsidRDefault="00CB252E">
            <w:pPr>
              <w:spacing w:before="240"/>
              <w:ind w:left="2" w:hanging="2"/>
              <w:jc w:val="center"/>
              <w:rPr>
                <w:color w:val="000000"/>
                <w:sz w:val="20"/>
                <w:szCs w:val="20"/>
              </w:rPr>
            </w:pPr>
          </w:p>
        </w:tc>
        <w:tc>
          <w:tcPr>
            <w:tcW w:w="1559" w:type="dxa"/>
            <w:tcBorders>
              <w:top w:val="nil"/>
              <w:left w:val="nil"/>
              <w:bottom w:val="single" w:sz="4" w:space="0" w:color="000000"/>
              <w:right w:val="single" w:sz="4" w:space="0" w:color="000000"/>
            </w:tcBorders>
            <w:vAlign w:val="center"/>
          </w:tcPr>
          <w:p w14:paraId="00000106" w14:textId="77777777" w:rsidR="00CB252E" w:rsidRDefault="00000000">
            <w:pPr>
              <w:spacing w:before="240"/>
              <w:ind w:left="2" w:hanging="2"/>
              <w:jc w:val="center"/>
              <w:rPr>
                <w:color w:val="000000"/>
                <w:sz w:val="20"/>
                <w:szCs w:val="20"/>
              </w:rPr>
            </w:pPr>
            <w:r>
              <w:rPr>
                <w:color w:val="000000"/>
                <w:sz w:val="20"/>
                <w:szCs w:val="20"/>
              </w:rPr>
              <w:t>333.333</w:t>
            </w:r>
          </w:p>
        </w:tc>
      </w:tr>
    </w:tbl>
    <w:p w14:paraId="00000107" w14:textId="77777777" w:rsidR="00CB252E" w:rsidRDefault="00CB252E">
      <w:pPr>
        <w:spacing w:before="240"/>
        <w:ind w:left="2" w:hanging="2"/>
        <w:jc w:val="both"/>
        <w:rPr>
          <w:color w:val="000000"/>
          <w:sz w:val="20"/>
          <w:szCs w:val="20"/>
        </w:rPr>
      </w:pPr>
    </w:p>
    <w:p w14:paraId="00000108" w14:textId="77777777" w:rsidR="00CB252E" w:rsidRDefault="00000000">
      <w:pPr>
        <w:spacing w:before="240"/>
        <w:ind w:left="2" w:hanging="2"/>
        <w:jc w:val="both"/>
        <w:rPr>
          <w:color w:val="000000"/>
          <w:sz w:val="20"/>
          <w:szCs w:val="20"/>
        </w:rPr>
      </w:pPr>
      <w:r>
        <w:rPr>
          <w:color w:val="000000"/>
          <w:sz w:val="20"/>
          <w:szCs w:val="20"/>
        </w:rPr>
        <w:t xml:space="preserve">Estos pagos por anticipado se deben ir amortizando hasta finalizar el tiempo establecido. </w:t>
      </w:r>
    </w:p>
    <w:p w14:paraId="00000109" w14:textId="77777777" w:rsidR="00CB252E" w:rsidRDefault="00000000">
      <w:pPr>
        <w:spacing w:before="240"/>
        <w:ind w:left="2" w:hanging="2"/>
        <w:rPr>
          <w:color w:val="000000"/>
          <w:sz w:val="20"/>
          <w:szCs w:val="20"/>
        </w:rPr>
      </w:pPr>
      <w:r>
        <w:rPr>
          <w:b/>
          <w:color w:val="000000"/>
          <w:sz w:val="20"/>
          <w:szCs w:val="20"/>
        </w:rPr>
        <w:t>1.2.4. Retiros, enajenaciones y revelación.</w:t>
      </w:r>
    </w:p>
    <w:p w14:paraId="0000010A" w14:textId="77777777" w:rsidR="00CB252E" w:rsidRDefault="00000000">
      <w:pPr>
        <w:numPr>
          <w:ilvl w:val="0"/>
          <w:numId w:val="2"/>
        </w:numPr>
        <w:spacing w:before="240"/>
        <w:ind w:left="2" w:hanging="2"/>
        <w:jc w:val="both"/>
        <w:rPr>
          <w:sz w:val="20"/>
          <w:szCs w:val="20"/>
        </w:rPr>
      </w:pPr>
      <w:r>
        <w:rPr>
          <w:b/>
          <w:sz w:val="20"/>
          <w:szCs w:val="20"/>
        </w:rPr>
        <w:t>Retiros y enajenaciones</w:t>
      </w:r>
    </w:p>
    <w:p w14:paraId="0000010B" w14:textId="77777777" w:rsidR="00CB252E" w:rsidRDefault="00000000">
      <w:pPr>
        <w:spacing w:before="240"/>
        <w:ind w:left="2" w:hanging="2"/>
        <w:jc w:val="both"/>
        <w:rPr>
          <w:color w:val="000000"/>
          <w:sz w:val="20"/>
          <w:szCs w:val="20"/>
        </w:rPr>
      </w:pPr>
      <w:r>
        <w:rPr>
          <w:color w:val="000000"/>
          <w:sz w:val="20"/>
          <w:szCs w:val="20"/>
        </w:rPr>
        <w:t xml:space="preserve">Un activo intangible es dado de baja cuando es enajenado, también cuando no se esperan retribuciones o beneficios económicos en el futuro. </w:t>
      </w:r>
    </w:p>
    <w:p w14:paraId="0000010C" w14:textId="77777777" w:rsidR="00CB252E" w:rsidRDefault="00000000">
      <w:pPr>
        <w:spacing w:before="240"/>
        <w:ind w:left="2" w:hanging="2"/>
        <w:jc w:val="both"/>
        <w:rPr>
          <w:color w:val="000000"/>
          <w:sz w:val="20"/>
          <w:szCs w:val="20"/>
        </w:rPr>
      </w:pPr>
      <w:r>
        <w:rPr>
          <w:color w:val="000000"/>
          <w:sz w:val="20"/>
          <w:szCs w:val="20"/>
        </w:rPr>
        <w:t>Cuando se da de baja un activo, debe ser reconocido en el estado de resultados, medido por la diferencia entre el valor en libros del activo y/o por cualquier flujo por efecto de la enajenación (si existen).</w:t>
      </w:r>
    </w:p>
    <w:p w14:paraId="0000010D" w14:textId="77777777" w:rsidR="00CB252E" w:rsidRDefault="00000000">
      <w:pPr>
        <w:numPr>
          <w:ilvl w:val="0"/>
          <w:numId w:val="2"/>
        </w:numPr>
        <w:spacing w:before="240"/>
        <w:ind w:left="2" w:hanging="2"/>
        <w:jc w:val="both"/>
        <w:rPr>
          <w:color w:val="000000"/>
          <w:sz w:val="20"/>
          <w:szCs w:val="20"/>
        </w:rPr>
      </w:pPr>
      <w:r>
        <w:rPr>
          <w:b/>
          <w:color w:val="000000"/>
          <w:sz w:val="20"/>
          <w:szCs w:val="20"/>
        </w:rPr>
        <w:t>Revelación</w:t>
      </w:r>
    </w:p>
    <w:p w14:paraId="0000010E" w14:textId="77777777" w:rsidR="00CB252E" w:rsidRDefault="00000000">
      <w:pPr>
        <w:spacing w:before="240"/>
        <w:ind w:left="2" w:hanging="2"/>
        <w:jc w:val="both"/>
        <w:rPr>
          <w:color w:val="000000"/>
          <w:sz w:val="20"/>
          <w:szCs w:val="20"/>
        </w:rPr>
      </w:pPr>
      <w:r>
        <w:rPr>
          <w:color w:val="000000"/>
          <w:sz w:val="20"/>
          <w:szCs w:val="20"/>
        </w:rPr>
        <w:t>La revelación de los activos intangibles debe incluir: las bases de medición, el método de amortización, las vidas útiles o las tasas de amortización utilizadas, conciliación de los movimientos del período para cada clase de activo intangible, método de medición (Costo / revaluación), desembolsos por investigación y desarrollo entre otros.</w:t>
      </w:r>
    </w:p>
    <w:p w14:paraId="0000010F" w14:textId="77777777" w:rsidR="00CB252E" w:rsidRDefault="00CB252E">
      <w:pPr>
        <w:spacing w:before="240"/>
        <w:jc w:val="both"/>
        <w:rPr>
          <w:b/>
          <w:sz w:val="20"/>
          <w:szCs w:val="20"/>
        </w:rPr>
      </w:pPr>
    </w:p>
    <w:p w14:paraId="00000110" w14:textId="77777777" w:rsidR="00CB252E" w:rsidRDefault="00000000">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ACTIVIDADES DIDÁCTICAS (OPCIONALES SI SON SUGERIDAS)</w:t>
      </w:r>
    </w:p>
    <w:p w14:paraId="00000111" w14:textId="77777777" w:rsidR="00CB252E" w:rsidRDefault="00CB252E">
      <w:pPr>
        <w:spacing w:before="240"/>
        <w:ind w:left="426"/>
        <w:jc w:val="both"/>
        <w:rPr>
          <w:color w:val="7F7F7F"/>
          <w:sz w:val="20"/>
          <w:szCs w:val="20"/>
        </w:rPr>
      </w:pPr>
    </w:p>
    <w:tbl>
      <w:tblPr>
        <w:tblStyle w:val="af9"/>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CB252E" w14:paraId="71E58444" w14:textId="77777777">
        <w:trPr>
          <w:trHeight w:val="298"/>
        </w:trPr>
        <w:tc>
          <w:tcPr>
            <w:tcW w:w="9541" w:type="dxa"/>
            <w:gridSpan w:val="2"/>
            <w:shd w:val="clear" w:color="auto" w:fill="FAC896"/>
            <w:vAlign w:val="center"/>
          </w:tcPr>
          <w:p w14:paraId="00000112" w14:textId="77777777" w:rsidR="00CB252E" w:rsidRDefault="00000000">
            <w:pPr>
              <w:spacing w:before="240"/>
              <w:jc w:val="center"/>
              <w:rPr>
                <w:color w:val="000000"/>
                <w:sz w:val="20"/>
                <w:szCs w:val="20"/>
              </w:rPr>
            </w:pPr>
            <w:r>
              <w:rPr>
                <w:color w:val="000000"/>
                <w:sz w:val="20"/>
                <w:szCs w:val="20"/>
              </w:rPr>
              <w:t>DESCRIPCIÓN DE ACTIVIDAD DIDÁCTICA</w:t>
            </w:r>
          </w:p>
        </w:tc>
      </w:tr>
      <w:tr w:rsidR="00CB252E" w14:paraId="0D10255C" w14:textId="77777777">
        <w:trPr>
          <w:trHeight w:val="611"/>
        </w:trPr>
        <w:tc>
          <w:tcPr>
            <w:tcW w:w="2835" w:type="dxa"/>
            <w:shd w:val="clear" w:color="auto" w:fill="FAC896"/>
            <w:vAlign w:val="center"/>
          </w:tcPr>
          <w:p w14:paraId="00000114" w14:textId="77777777" w:rsidR="00CB252E" w:rsidRDefault="00000000">
            <w:pPr>
              <w:spacing w:before="240"/>
              <w:rPr>
                <w:color w:val="000000"/>
                <w:sz w:val="20"/>
                <w:szCs w:val="20"/>
              </w:rPr>
            </w:pPr>
            <w:r>
              <w:rPr>
                <w:color w:val="000000"/>
                <w:sz w:val="20"/>
                <w:szCs w:val="20"/>
              </w:rPr>
              <w:t>Nombre de la Actividad</w:t>
            </w:r>
          </w:p>
        </w:tc>
        <w:tc>
          <w:tcPr>
            <w:tcW w:w="6706" w:type="dxa"/>
            <w:shd w:val="clear" w:color="auto" w:fill="auto"/>
            <w:vAlign w:val="center"/>
          </w:tcPr>
          <w:p w14:paraId="00000115" w14:textId="77777777" w:rsidR="00CB252E" w:rsidRDefault="00000000">
            <w:pPr>
              <w:spacing w:before="240"/>
              <w:rPr>
                <w:color w:val="000000"/>
                <w:sz w:val="20"/>
                <w:szCs w:val="20"/>
              </w:rPr>
            </w:pPr>
            <w:r>
              <w:rPr>
                <w:color w:val="000000"/>
                <w:sz w:val="20"/>
                <w:szCs w:val="20"/>
              </w:rPr>
              <w:t>N/A</w:t>
            </w:r>
          </w:p>
        </w:tc>
      </w:tr>
      <w:tr w:rsidR="00CB252E" w14:paraId="3F75E941" w14:textId="77777777">
        <w:trPr>
          <w:trHeight w:val="806"/>
        </w:trPr>
        <w:tc>
          <w:tcPr>
            <w:tcW w:w="2835" w:type="dxa"/>
            <w:shd w:val="clear" w:color="auto" w:fill="FAC896"/>
            <w:vAlign w:val="center"/>
          </w:tcPr>
          <w:p w14:paraId="00000116" w14:textId="77777777" w:rsidR="00CB252E" w:rsidRDefault="00000000">
            <w:pPr>
              <w:spacing w:before="240"/>
              <w:rPr>
                <w:color w:val="000000"/>
                <w:sz w:val="20"/>
                <w:szCs w:val="20"/>
              </w:rPr>
            </w:pPr>
            <w:r>
              <w:rPr>
                <w:color w:val="000000"/>
                <w:sz w:val="20"/>
                <w:szCs w:val="20"/>
              </w:rPr>
              <w:t>Objetivo de la actividad</w:t>
            </w:r>
          </w:p>
        </w:tc>
        <w:tc>
          <w:tcPr>
            <w:tcW w:w="6706" w:type="dxa"/>
            <w:shd w:val="clear" w:color="auto" w:fill="auto"/>
            <w:vAlign w:val="center"/>
          </w:tcPr>
          <w:p w14:paraId="00000117" w14:textId="77777777" w:rsidR="00CB252E" w:rsidRDefault="00000000">
            <w:pPr>
              <w:spacing w:before="240"/>
              <w:rPr>
                <w:color w:val="000000"/>
                <w:sz w:val="20"/>
                <w:szCs w:val="20"/>
              </w:rPr>
            </w:pPr>
            <w:r>
              <w:rPr>
                <w:color w:val="000000"/>
                <w:sz w:val="20"/>
                <w:szCs w:val="20"/>
              </w:rPr>
              <w:t>N/A</w:t>
            </w:r>
          </w:p>
        </w:tc>
      </w:tr>
      <w:tr w:rsidR="00CB252E" w14:paraId="29822A3F" w14:textId="77777777">
        <w:trPr>
          <w:trHeight w:val="806"/>
        </w:trPr>
        <w:tc>
          <w:tcPr>
            <w:tcW w:w="2835" w:type="dxa"/>
            <w:shd w:val="clear" w:color="auto" w:fill="FAC896"/>
            <w:vAlign w:val="center"/>
          </w:tcPr>
          <w:p w14:paraId="00000118" w14:textId="77777777" w:rsidR="00CB252E" w:rsidRDefault="00000000">
            <w:pPr>
              <w:spacing w:before="240"/>
              <w:jc w:val="center"/>
              <w:rPr>
                <w:color w:val="000000"/>
                <w:sz w:val="20"/>
                <w:szCs w:val="20"/>
              </w:rPr>
            </w:pPr>
            <w:r>
              <w:rPr>
                <w:color w:val="000000"/>
                <w:sz w:val="20"/>
                <w:szCs w:val="20"/>
              </w:rPr>
              <w:lastRenderedPageBreak/>
              <w:t>Tipo de actividad sugerida</w:t>
            </w:r>
          </w:p>
        </w:tc>
        <w:tc>
          <w:tcPr>
            <w:tcW w:w="6706" w:type="dxa"/>
            <w:shd w:val="clear" w:color="auto" w:fill="auto"/>
            <w:vAlign w:val="center"/>
          </w:tcPr>
          <w:p w14:paraId="00000119" w14:textId="77777777" w:rsidR="00CB252E" w:rsidRDefault="00000000">
            <w:pPr>
              <w:spacing w:before="240"/>
              <w:rPr>
                <w:color w:val="000000"/>
                <w:sz w:val="20"/>
                <w:szCs w:val="20"/>
              </w:rPr>
            </w:pPr>
            <w:r>
              <w:rPr>
                <w:noProof/>
                <w:sz w:val="20"/>
                <w:szCs w:val="20"/>
              </w:rPr>
              <w:drawing>
                <wp:inline distT="0" distB="0" distL="0" distR="0" wp14:anchorId="432E8AF8" wp14:editId="6B9611A0">
                  <wp:extent cx="4169410" cy="2410460"/>
                  <wp:effectExtent l="0" t="0" r="0" b="0"/>
                  <wp:docPr id="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4169410" cy="2410460"/>
                          </a:xfrm>
                          <a:prstGeom prst="rect">
                            <a:avLst/>
                          </a:prstGeom>
                          <a:ln/>
                        </pic:spPr>
                      </pic:pic>
                    </a:graphicData>
                  </a:graphic>
                </wp:inline>
              </w:drawing>
            </w:r>
          </w:p>
        </w:tc>
      </w:tr>
      <w:tr w:rsidR="00CB252E" w14:paraId="019B7F3E" w14:textId="77777777">
        <w:trPr>
          <w:trHeight w:val="719"/>
        </w:trPr>
        <w:tc>
          <w:tcPr>
            <w:tcW w:w="2835" w:type="dxa"/>
            <w:shd w:val="clear" w:color="auto" w:fill="FAC896"/>
            <w:vAlign w:val="center"/>
          </w:tcPr>
          <w:p w14:paraId="0000011A" w14:textId="77777777" w:rsidR="00CB252E" w:rsidRDefault="00000000">
            <w:pPr>
              <w:spacing w:before="240"/>
              <w:jc w:val="center"/>
              <w:rPr>
                <w:color w:val="000000"/>
                <w:sz w:val="20"/>
                <w:szCs w:val="20"/>
              </w:rPr>
            </w:pPr>
            <w:r>
              <w:rPr>
                <w:color w:val="000000"/>
                <w:sz w:val="20"/>
                <w:szCs w:val="20"/>
              </w:rPr>
              <w:t>Archivo de la actividad (Anexo donde se describe la actividad propuesta)</w:t>
            </w:r>
          </w:p>
        </w:tc>
        <w:tc>
          <w:tcPr>
            <w:tcW w:w="6706" w:type="dxa"/>
            <w:shd w:val="clear" w:color="auto" w:fill="auto"/>
            <w:vAlign w:val="center"/>
          </w:tcPr>
          <w:p w14:paraId="0000011B" w14:textId="77777777" w:rsidR="00CB252E" w:rsidRDefault="00000000">
            <w:pPr>
              <w:spacing w:before="240"/>
              <w:rPr>
                <w:color w:val="000000"/>
                <w:sz w:val="20"/>
                <w:szCs w:val="20"/>
              </w:rPr>
            </w:pPr>
            <w:r>
              <w:rPr>
                <w:color w:val="000000"/>
                <w:sz w:val="20"/>
                <w:szCs w:val="20"/>
              </w:rPr>
              <w:t>N/A</w:t>
            </w:r>
          </w:p>
        </w:tc>
      </w:tr>
    </w:tbl>
    <w:p w14:paraId="0000011C" w14:textId="77777777" w:rsidR="00CB252E" w:rsidRDefault="00CB252E">
      <w:pPr>
        <w:spacing w:before="240"/>
        <w:ind w:left="426"/>
        <w:jc w:val="both"/>
        <w:rPr>
          <w:color w:val="7F7F7F"/>
          <w:sz w:val="20"/>
          <w:szCs w:val="20"/>
        </w:rPr>
      </w:pPr>
    </w:p>
    <w:p w14:paraId="0000011D" w14:textId="77777777" w:rsidR="00CB252E" w:rsidRDefault="00000000">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MATERIAL COMPLEMENTARIO: </w:t>
      </w:r>
    </w:p>
    <w:p w14:paraId="0000011E" w14:textId="77777777" w:rsidR="00CB252E" w:rsidRDefault="00CB252E">
      <w:pPr>
        <w:spacing w:before="240"/>
        <w:rPr>
          <w:sz w:val="20"/>
          <w:szCs w:val="20"/>
        </w:rPr>
      </w:pPr>
    </w:p>
    <w:tbl>
      <w:tblPr>
        <w:tblStyle w:val="afa"/>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CB252E" w14:paraId="456D2485" w14:textId="77777777">
        <w:trPr>
          <w:trHeight w:val="658"/>
        </w:trPr>
        <w:tc>
          <w:tcPr>
            <w:tcW w:w="2517" w:type="dxa"/>
            <w:shd w:val="clear" w:color="auto" w:fill="F9CB9C"/>
            <w:tcMar>
              <w:top w:w="100" w:type="dxa"/>
              <w:left w:w="100" w:type="dxa"/>
              <w:bottom w:w="100" w:type="dxa"/>
              <w:right w:w="100" w:type="dxa"/>
            </w:tcMar>
            <w:vAlign w:val="center"/>
          </w:tcPr>
          <w:p w14:paraId="0000011F" w14:textId="77777777" w:rsidR="00CB252E" w:rsidRDefault="00000000">
            <w:pPr>
              <w:spacing w:before="240"/>
              <w:jc w:val="center"/>
              <w:rPr>
                <w:sz w:val="20"/>
                <w:szCs w:val="20"/>
              </w:rPr>
            </w:pPr>
            <w:r>
              <w:rPr>
                <w:sz w:val="20"/>
                <w:szCs w:val="20"/>
              </w:rPr>
              <w:t>Tema</w:t>
            </w:r>
          </w:p>
        </w:tc>
        <w:tc>
          <w:tcPr>
            <w:tcW w:w="2517" w:type="dxa"/>
            <w:shd w:val="clear" w:color="auto" w:fill="F9CB9C"/>
            <w:tcMar>
              <w:top w:w="100" w:type="dxa"/>
              <w:left w:w="100" w:type="dxa"/>
              <w:bottom w:w="100" w:type="dxa"/>
              <w:right w:w="100" w:type="dxa"/>
            </w:tcMar>
            <w:vAlign w:val="center"/>
          </w:tcPr>
          <w:p w14:paraId="00000120" w14:textId="77777777" w:rsidR="00CB252E" w:rsidRDefault="00000000">
            <w:pPr>
              <w:spacing w:before="240"/>
              <w:jc w:val="center"/>
              <w:rPr>
                <w:color w:val="000000"/>
                <w:sz w:val="20"/>
                <w:szCs w:val="20"/>
              </w:rPr>
            </w:pPr>
            <w:r>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121" w14:textId="77777777" w:rsidR="00CB252E" w:rsidRDefault="00000000">
            <w:pPr>
              <w:spacing w:before="240"/>
              <w:jc w:val="center"/>
              <w:rPr>
                <w:sz w:val="20"/>
                <w:szCs w:val="20"/>
              </w:rPr>
            </w:pPr>
            <w:r>
              <w:rPr>
                <w:sz w:val="20"/>
                <w:szCs w:val="20"/>
              </w:rPr>
              <w:t>Tipo de material   (Video, capítulo de libro, artículo, otro)</w:t>
            </w:r>
          </w:p>
        </w:tc>
        <w:tc>
          <w:tcPr>
            <w:tcW w:w="2519" w:type="dxa"/>
            <w:shd w:val="clear" w:color="auto" w:fill="F9CB9C"/>
            <w:tcMar>
              <w:top w:w="100" w:type="dxa"/>
              <w:left w:w="100" w:type="dxa"/>
              <w:bottom w:w="100" w:type="dxa"/>
              <w:right w:w="100" w:type="dxa"/>
            </w:tcMar>
            <w:vAlign w:val="center"/>
          </w:tcPr>
          <w:p w14:paraId="00000122" w14:textId="77777777" w:rsidR="00CB252E" w:rsidRDefault="00000000">
            <w:pPr>
              <w:spacing w:before="240"/>
              <w:jc w:val="center"/>
              <w:rPr>
                <w:sz w:val="20"/>
                <w:szCs w:val="20"/>
              </w:rPr>
            </w:pPr>
            <w:r>
              <w:rPr>
                <w:sz w:val="20"/>
                <w:szCs w:val="20"/>
              </w:rPr>
              <w:t>Enlace del Recurso o Archivo del documento o material</w:t>
            </w:r>
          </w:p>
        </w:tc>
      </w:tr>
      <w:tr w:rsidR="00CB252E" w14:paraId="071EE899" w14:textId="77777777">
        <w:trPr>
          <w:trHeight w:val="1683"/>
        </w:trPr>
        <w:tc>
          <w:tcPr>
            <w:tcW w:w="2517" w:type="dxa"/>
            <w:tcMar>
              <w:top w:w="100" w:type="dxa"/>
              <w:left w:w="100" w:type="dxa"/>
              <w:bottom w:w="100" w:type="dxa"/>
              <w:right w:w="100" w:type="dxa"/>
            </w:tcMar>
            <w:vAlign w:val="center"/>
          </w:tcPr>
          <w:p w14:paraId="00000123" w14:textId="77777777" w:rsidR="00CB252E" w:rsidRDefault="00000000">
            <w:pPr>
              <w:spacing w:before="240"/>
              <w:jc w:val="both"/>
              <w:rPr>
                <w:sz w:val="20"/>
                <w:szCs w:val="20"/>
              </w:rPr>
            </w:pPr>
            <w:r>
              <w:rPr>
                <w:sz w:val="20"/>
                <w:szCs w:val="20"/>
              </w:rPr>
              <w:t>Estándares/normas internacionales de información financiera (IFRS7NIIF).</w:t>
            </w:r>
          </w:p>
        </w:tc>
        <w:tc>
          <w:tcPr>
            <w:tcW w:w="2517" w:type="dxa"/>
            <w:tcMar>
              <w:top w:w="100" w:type="dxa"/>
              <w:left w:w="100" w:type="dxa"/>
              <w:bottom w:w="100" w:type="dxa"/>
              <w:right w:w="100" w:type="dxa"/>
            </w:tcMar>
          </w:tcPr>
          <w:p w14:paraId="00000124" w14:textId="77777777" w:rsidR="00CB252E" w:rsidRDefault="00000000">
            <w:pPr>
              <w:spacing w:before="240"/>
              <w:jc w:val="both"/>
              <w:rPr>
                <w:sz w:val="20"/>
                <w:szCs w:val="20"/>
              </w:rPr>
            </w:pPr>
            <w:r>
              <w:rPr>
                <w:sz w:val="20"/>
                <w:szCs w:val="20"/>
              </w:rPr>
              <w:t>Estándares/normas internacionales de información financiera (IFRS7NIIF). (pp. 387-395). (3a edición ed.). Bogotá: ECOE Ediciones</w:t>
            </w:r>
          </w:p>
        </w:tc>
        <w:tc>
          <w:tcPr>
            <w:tcW w:w="2519" w:type="dxa"/>
            <w:tcMar>
              <w:top w:w="100" w:type="dxa"/>
              <w:left w:w="100" w:type="dxa"/>
              <w:bottom w:w="100" w:type="dxa"/>
              <w:right w:w="100" w:type="dxa"/>
            </w:tcMar>
            <w:vAlign w:val="center"/>
          </w:tcPr>
          <w:p w14:paraId="00000125" w14:textId="77777777" w:rsidR="00CB252E" w:rsidRDefault="00000000">
            <w:pPr>
              <w:spacing w:before="240"/>
              <w:jc w:val="center"/>
              <w:rPr>
                <w:sz w:val="20"/>
                <w:szCs w:val="20"/>
              </w:rPr>
            </w:pPr>
            <w:r>
              <w:rPr>
                <w:sz w:val="20"/>
                <w:szCs w:val="20"/>
              </w:rPr>
              <w:t>Página Web</w:t>
            </w:r>
          </w:p>
        </w:tc>
        <w:tc>
          <w:tcPr>
            <w:tcW w:w="2519" w:type="dxa"/>
            <w:tcMar>
              <w:top w:w="100" w:type="dxa"/>
              <w:left w:w="100" w:type="dxa"/>
              <w:bottom w:w="100" w:type="dxa"/>
              <w:right w:w="100" w:type="dxa"/>
            </w:tcMar>
            <w:vAlign w:val="center"/>
          </w:tcPr>
          <w:p w14:paraId="00000126" w14:textId="77777777" w:rsidR="00CB252E" w:rsidRDefault="00000000">
            <w:pPr>
              <w:ind w:left="2" w:hanging="2"/>
              <w:jc w:val="center"/>
              <w:rPr>
                <w:color w:val="000000"/>
                <w:sz w:val="20"/>
                <w:szCs w:val="20"/>
                <w:highlight w:val="white"/>
              </w:rPr>
            </w:pPr>
            <w:hyperlink r:id="rId15">
              <w:r>
                <w:rPr>
                  <w:color w:val="0000FF"/>
                  <w:sz w:val="20"/>
                  <w:szCs w:val="20"/>
                  <w:highlight w:val="white"/>
                  <w:u w:val="single"/>
                </w:rPr>
                <w:t>https://ebookcentraroquestcom.bdigital.sena.edu.co/lib/senavirtualsp/detail.action?docID=3161303</w:t>
              </w:r>
            </w:hyperlink>
            <w:r>
              <w:rPr>
                <w:color w:val="000000"/>
                <w:sz w:val="20"/>
                <w:szCs w:val="20"/>
                <w:highlight w:val="white"/>
              </w:rPr>
              <w:t>.</w:t>
            </w:r>
          </w:p>
        </w:tc>
      </w:tr>
    </w:tbl>
    <w:p w14:paraId="00000127" w14:textId="77777777" w:rsidR="00CB252E" w:rsidRDefault="00000000">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GLOSARIO: </w:t>
      </w:r>
    </w:p>
    <w:p w14:paraId="00000128" w14:textId="77777777" w:rsidR="00CB252E" w:rsidRDefault="00CB252E">
      <w:pPr>
        <w:pBdr>
          <w:top w:val="nil"/>
          <w:left w:val="nil"/>
          <w:bottom w:val="nil"/>
          <w:right w:val="nil"/>
          <w:between w:val="nil"/>
        </w:pBdr>
        <w:spacing w:before="240"/>
        <w:ind w:left="426"/>
        <w:jc w:val="both"/>
        <w:rPr>
          <w:color w:val="000000"/>
          <w:sz w:val="20"/>
          <w:szCs w:val="20"/>
        </w:rPr>
      </w:pPr>
    </w:p>
    <w:tbl>
      <w:tblPr>
        <w:tblStyle w:val="af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CB252E" w14:paraId="47CDF233" w14:textId="77777777">
        <w:trPr>
          <w:trHeight w:val="214"/>
        </w:trPr>
        <w:tc>
          <w:tcPr>
            <w:tcW w:w="2122" w:type="dxa"/>
            <w:shd w:val="clear" w:color="auto" w:fill="F9CB9C"/>
            <w:tcMar>
              <w:top w:w="100" w:type="dxa"/>
              <w:left w:w="100" w:type="dxa"/>
              <w:bottom w:w="100" w:type="dxa"/>
              <w:right w:w="100" w:type="dxa"/>
            </w:tcMar>
          </w:tcPr>
          <w:p w14:paraId="00000129" w14:textId="77777777" w:rsidR="00CB252E" w:rsidRDefault="00000000">
            <w:pPr>
              <w:spacing w:before="240"/>
              <w:jc w:val="center"/>
              <w:rPr>
                <w:color w:val="000000"/>
                <w:sz w:val="20"/>
                <w:szCs w:val="20"/>
              </w:rPr>
            </w:pPr>
            <w:r>
              <w:rPr>
                <w:sz w:val="20"/>
                <w:szCs w:val="20"/>
              </w:rPr>
              <w:t>TÉRMINO</w:t>
            </w:r>
          </w:p>
        </w:tc>
        <w:tc>
          <w:tcPr>
            <w:tcW w:w="7840" w:type="dxa"/>
            <w:shd w:val="clear" w:color="auto" w:fill="F9CB9C"/>
            <w:tcMar>
              <w:top w:w="100" w:type="dxa"/>
              <w:left w:w="100" w:type="dxa"/>
              <w:bottom w:w="100" w:type="dxa"/>
              <w:right w:w="100" w:type="dxa"/>
            </w:tcMar>
          </w:tcPr>
          <w:p w14:paraId="0000012A" w14:textId="77777777" w:rsidR="00CB252E" w:rsidRDefault="00000000">
            <w:pPr>
              <w:spacing w:before="240"/>
              <w:jc w:val="center"/>
              <w:rPr>
                <w:color w:val="000000"/>
                <w:sz w:val="20"/>
                <w:szCs w:val="20"/>
              </w:rPr>
            </w:pPr>
            <w:r>
              <w:rPr>
                <w:color w:val="000000"/>
                <w:sz w:val="20"/>
                <w:szCs w:val="20"/>
              </w:rPr>
              <w:t>SIGNIFICADO</w:t>
            </w:r>
          </w:p>
        </w:tc>
      </w:tr>
      <w:tr w:rsidR="00CB252E" w14:paraId="42D16658" w14:textId="77777777">
        <w:trPr>
          <w:trHeight w:val="253"/>
        </w:trPr>
        <w:tc>
          <w:tcPr>
            <w:tcW w:w="2122" w:type="dxa"/>
            <w:tcMar>
              <w:top w:w="100" w:type="dxa"/>
              <w:left w:w="100" w:type="dxa"/>
              <w:bottom w:w="100" w:type="dxa"/>
              <w:right w:w="100" w:type="dxa"/>
            </w:tcMar>
            <w:vAlign w:val="center"/>
          </w:tcPr>
          <w:p w14:paraId="0000012B" w14:textId="77777777" w:rsidR="00CB252E" w:rsidRDefault="00000000">
            <w:pPr>
              <w:rPr>
                <w:sz w:val="20"/>
                <w:szCs w:val="20"/>
              </w:rPr>
            </w:pPr>
            <w:r>
              <w:rPr>
                <w:sz w:val="20"/>
                <w:szCs w:val="20"/>
              </w:rPr>
              <w:t>Activo</w:t>
            </w:r>
          </w:p>
        </w:tc>
        <w:tc>
          <w:tcPr>
            <w:tcW w:w="7840" w:type="dxa"/>
            <w:tcMar>
              <w:top w:w="100" w:type="dxa"/>
              <w:left w:w="100" w:type="dxa"/>
              <w:bottom w:w="100" w:type="dxa"/>
              <w:right w:w="100" w:type="dxa"/>
            </w:tcMar>
          </w:tcPr>
          <w:p w14:paraId="0000012C" w14:textId="77777777" w:rsidR="00CB252E" w:rsidRDefault="00000000">
            <w:pPr>
              <w:ind w:left="2" w:hanging="2"/>
              <w:jc w:val="both"/>
              <w:rPr>
                <w:color w:val="666666"/>
                <w:sz w:val="20"/>
                <w:szCs w:val="20"/>
              </w:rPr>
            </w:pPr>
            <w:r>
              <w:rPr>
                <w:sz w:val="20"/>
                <w:szCs w:val="20"/>
              </w:rPr>
              <w:t>Es la distribución sistemática del importe depreciable del activo intangible durante la vida útil; el activo útil es un recurso controlado por la entidad como resultado de sucesos pasados y del que la entidad espera obtener beneficios económicos futuros. (IFRS, 2008, pág. 3)</w:t>
            </w:r>
          </w:p>
        </w:tc>
      </w:tr>
      <w:tr w:rsidR="00CB252E" w14:paraId="7650134F" w14:textId="77777777">
        <w:trPr>
          <w:trHeight w:val="253"/>
        </w:trPr>
        <w:tc>
          <w:tcPr>
            <w:tcW w:w="2122" w:type="dxa"/>
            <w:tcMar>
              <w:top w:w="100" w:type="dxa"/>
              <w:left w:w="100" w:type="dxa"/>
              <w:bottom w:w="100" w:type="dxa"/>
              <w:right w:w="100" w:type="dxa"/>
            </w:tcMar>
            <w:vAlign w:val="center"/>
          </w:tcPr>
          <w:p w14:paraId="0000012D" w14:textId="77777777" w:rsidR="00CB252E" w:rsidRDefault="00000000">
            <w:pPr>
              <w:rPr>
                <w:sz w:val="20"/>
                <w:szCs w:val="20"/>
              </w:rPr>
            </w:pPr>
            <w:r>
              <w:rPr>
                <w:sz w:val="20"/>
                <w:szCs w:val="20"/>
              </w:rPr>
              <w:lastRenderedPageBreak/>
              <w:t>Activo intangible</w:t>
            </w:r>
          </w:p>
        </w:tc>
        <w:tc>
          <w:tcPr>
            <w:tcW w:w="7840" w:type="dxa"/>
            <w:tcMar>
              <w:top w:w="100" w:type="dxa"/>
              <w:left w:w="100" w:type="dxa"/>
              <w:bottom w:w="100" w:type="dxa"/>
              <w:right w:w="100" w:type="dxa"/>
            </w:tcMar>
          </w:tcPr>
          <w:p w14:paraId="0000012E" w14:textId="77777777" w:rsidR="00CB252E" w:rsidRDefault="00000000">
            <w:pPr>
              <w:jc w:val="both"/>
              <w:rPr>
                <w:sz w:val="20"/>
                <w:szCs w:val="20"/>
              </w:rPr>
            </w:pPr>
            <w:r>
              <w:rPr>
                <w:sz w:val="20"/>
                <w:szCs w:val="20"/>
              </w:rPr>
              <w:t>Activo identificable, de carácter no monetario y sin apariencia física. (IFRS, 2013, pág. 1)</w:t>
            </w:r>
          </w:p>
        </w:tc>
      </w:tr>
      <w:tr w:rsidR="00CB252E" w14:paraId="7901B9A1" w14:textId="77777777">
        <w:trPr>
          <w:trHeight w:val="253"/>
        </w:trPr>
        <w:tc>
          <w:tcPr>
            <w:tcW w:w="2122" w:type="dxa"/>
            <w:tcMar>
              <w:top w:w="100" w:type="dxa"/>
              <w:left w:w="100" w:type="dxa"/>
              <w:bottom w:w="100" w:type="dxa"/>
              <w:right w:w="100" w:type="dxa"/>
            </w:tcMar>
            <w:vAlign w:val="center"/>
          </w:tcPr>
          <w:p w14:paraId="0000012F" w14:textId="77777777" w:rsidR="00CB252E" w:rsidRDefault="00000000">
            <w:pPr>
              <w:rPr>
                <w:sz w:val="20"/>
                <w:szCs w:val="20"/>
              </w:rPr>
            </w:pPr>
            <w:r>
              <w:rPr>
                <w:sz w:val="20"/>
                <w:szCs w:val="20"/>
              </w:rPr>
              <w:t>Activo Monetario</w:t>
            </w:r>
          </w:p>
        </w:tc>
        <w:tc>
          <w:tcPr>
            <w:tcW w:w="7840" w:type="dxa"/>
            <w:tcMar>
              <w:top w:w="100" w:type="dxa"/>
              <w:left w:w="100" w:type="dxa"/>
              <w:bottom w:w="100" w:type="dxa"/>
              <w:right w:w="100" w:type="dxa"/>
            </w:tcMar>
          </w:tcPr>
          <w:p w14:paraId="00000130" w14:textId="77777777" w:rsidR="00CB252E" w:rsidRDefault="00000000">
            <w:pPr>
              <w:jc w:val="both"/>
              <w:rPr>
                <w:sz w:val="20"/>
                <w:szCs w:val="20"/>
              </w:rPr>
            </w:pPr>
            <w:r>
              <w:rPr>
                <w:sz w:val="20"/>
                <w:szCs w:val="20"/>
              </w:rPr>
              <w:t>Es dinero en efectivo u otro activo, por el que se va a recibir una cantidad fija de dinero. (IFRS, 2008, pág. 3)</w:t>
            </w:r>
          </w:p>
        </w:tc>
      </w:tr>
      <w:tr w:rsidR="00CB252E" w14:paraId="523B401C" w14:textId="77777777">
        <w:trPr>
          <w:trHeight w:val="253"/>
        </w:trPr>
        <w:tc>
          <w:tcPr>
            <w:tcW w:w="2122" w:type="dxa"/>
            <w:tcMar>
              <w:top w:w="100" w:type="dxa"/>
              <w:left w:w="100" w:type="dxa"/>
              <w:bottom w:w="100" w:type="dxa"/>
              <w:right w:w="100" w:type="dxa"/>
            </w:tcMar>
            <w:vAlign w:val="center"/>
          </w:tcPr>
          <w:p w14:paraId="00000131" w14:textId="77777777" w:rsidR="00CB252E" w:rsidRDefault="00000000">
            <w:pPr>
              <w:rPr>
                <w:sz w:val="20"/>
                <w:szCs w:val="20"/>
              </w:rPr>
            </w:pPr>
            <w:r>
              <w:rPr>
                <w:sz w:val="20"/>
                <w:szCs w:val="20"/>
              </w:rPr>
              <w:t>Amortización</w:t>
            </w:r>
          </w:p>
        </w:tc>
        <w:tc>
          <w:tcPr>
            <w:tcW w:w="7840" w:type="dxa"/>
            <w:tcMar>
              <w:top w:w="100" w:type="dxa"/>
              <w:left w:w="100" w:type="dxa"/>
              <w:bottom w:w="100" w:type="dxa"/>
              <w:right w:w="100" w:type="dxa"/>
            </w:tcMar>
          </w:tcPr>
          <w:p w14:paraId="00000132" w14:textId="77777777" w:rsidR="00CB252E" w:rsidRDefault="00000000">
            <w:pPr>
              <w:jc w:val="both"/>
              <w:rPr>
                <w:sz w:val="20"/>
                <w:szCs w:val="20"/>
              </w:rPr>
            </w:pPr>
            <w:r>
              <w:rPr>
                <w:sz w:val="20"/>
                <w:szCs w:val="20"/>
              </w:rPr>
              <w:t>Distribución sistemática del importe depreciable de un activo intangible a lo largo de su vida útil. En el caso de activos intangibles, el término “amortización” se utiliza en vez de “depreciación”. (IFRS, 2008, pág. 4)</w:t>
            </w:r>
          </w:p>
        </w:tc>
      </w:tr>
      <w:tr w:rsidR="00CB252E" w14:paraId="46175E4B" w14:textId="77777777">
        <w:trPr>
          <w:trHeight w:val="253"/>
        </w:trPr>
        <w:tc>
          <w:tcPr>
            <w:tcW w:w="2122" w:type="dxa"/>
            <w:tcMar>
              <w:top w:w="100" w:type="dxa"/>
              <w:left w:w="100" w:type="dxa"/>
              <w:bottom w:w="100" w:type="dxa"/>
              <w:right w:w="100" w:type="dxa"/>
            </w:tcMar>
            <w:vAlign w:val="center"/>
          </w:tcPr>
          <w:p w14:paraId="00000133" w14:textId="77777777" w:rsidR="00CB252E" w:rsidRDefault="00000000">
            <w:pPr>
              <w:rPr>
                <w:sz w:val="20"/>
                <w:szCs w:val="20"/>
              </w:rPr>
            </w:pPr>
            <w:r>
              <w:rPr>
                <w:sz w:val="20"/>
                <w:szCs w:val="20"/>
              </w:rPr>
              <w:t>Costo</w:t>
            </w:r>
          </w:p>
        </w:tc>
        <w:tc>
          <w:tcPr>
            <w:tcW w:w="7840" w:type="dxa"/>
            <w:tcMar>
              <w:top w:w="100" w:type="dxa"/>
              <w:left w:w="100" w:type="dxa"/>
              <w:bottom w:w="100" w:type="dxa"/>
              <w:right w:w="100" w:type="dxa"/>
            </w:tcMar>
          </w:tcPr>
          <w:p w14:paraId="00000134" w14:textId="77777777" w:rsidR="00CB252E" w:rsidRDefault="00000000">
            <w:pPr>
              <w:jc w:val="both"/>
              <w:rPr>
                <w:sz w:val="20"/>
                <w:szCs w:val="20"/>
              </w:rPr>
            </w:pPr>
            <w:r>
              <w:rPr>
                <w:sz w:val="20"/>
                <w:szCs w:val="20"/>
              </w:rPr>
              <w:t>Importe de efectivo que equivale al pago efectuado o al valor razonable de lo entregado para adquirir ese activo, en el momento de su construcción o adquisición. (IFRS, 2008, pág. 11)</w:t>
            </w:r>
          </w:p>
        </w:tc>
      </w:tr>
      <w:tr w:rsidR="00CB252E" w14:paraId="09894136" w14:textId="77777777">
        <w:trPr>
          <w:trHeight w:val="253"/>
        </w:trPr>
        <w:tc>
          <w:tcPr>
            <w:tcW w:w="2122" w:type="dxa"/>
            <w:tcMar>
              <w:top w:w="100" w:type="dxa"/>
              <w:left w:w="100" w:type="dxa"/>
              <w:bottom w:w="100" w:type="dxa"/>
              <w:right w:w="100" w:type="dxa"/>
            </w:tcMar>
            <w:vAlign w:val="center"/>
          </w:tcPr>
          <w:p w14:paraId="00000135" w14:textId="77777777" w:rsidR="00CB252E" w:rsidRDefault="00000000">
            <w:pPr>
              <w:rPr>
                <w:sz w:val="20"/>
                <w:szCs w:val="20"/>
              </w:rPr>
            </w:pPr>
            <w:r>
              <w:rPr>
                <w:sz w:val="20"/>
                <w:szCs w:val="20"/>
              </w:rPr>
              <w:t>Gasto</w:t>
            </w:r>
          </w:p>
        </w:tc>
        <w:tc>
          <w:tcPr>
            <w:tcW w:w="7840" w:type="dxa"/>
            <w:tcMar>
              <w:top w:w="100" w:type="dxa"/>
              <w:left w:w="100" w:type="dxa"/>
              <w:bottom w:w="100" w:type="dxa"/>
              <w:right w:w="100" w:type="dxa"/>
            </w:tcMar>
          </w:tcPr>
          <w:p w14:paraId="00000136" w14:textId="77777777" w:rsidR="00CB252E" w:rsidRDefault="00000000">
            <w:pPr>
              <w:jc w:val="both"/>
              <w:rPr>
                <w:sz w:val="20"/>
                <w:szCs w:val="20"/>
              </w:rPr>
            </w:pPr>
            <w:r>
              <w:rPr>
                <w:color w:val="000000"/>
                <w:sz w:val="20"/>
                <w:szCs w:val="20"/>
              </w:rPr>
              <w:t>Son los decrementos en los beneficios económicos, producidos a lo largo del periodo contable, en forma de salidas o disminuciones del valor de los activos, o bien por la generación o aumento de los pasivos que dan como resultado decrementos en el patrimonio, y no están relacionados con las distribuciones realizadas a los propietarios de este patrimonio.</w:t>
            </w:r>
          </w:p>
        </w:tc>
      </w:tr>
      <w:tr w:rsidR="00CB252E" w14:paraId="71975F8C" w14:textId="77777777">
        <w:trPr>
          <w:trHeight w:val="253"/>
        </w:trPr>
        <w:tc>
          <w:tcPr>
            <w:tcW w:w="2122" w:type="dxa"/>
            <w:tcMar>
              <w:top w:w="100" w:type="dxa"/>
              <w:left w:w="100" w:type="dxa"/>
              <w:bottom w:w="100" w:type="dxa"/>
              <w:right w:w="100" w:type="dxa"/>
            </w:tcMar>
            <w:vAlign w:val="center"/>
          </w:tcPr>
          <w:p w14:paraId="00000137" w14:textId="77777777" w:rsidR="00CB252E" w:rsidRDefault="00000000">
            <w:pPr>
              <w:rPr>
                <w:sz w:val="20"/>
                <w:szCs w:val="20"/>
              </w:rPr>
            </w:pPr>
            <w:r>
              <w:rPr>
                <w:sz w:val="20"/>
                <w:szCs w:val="20"/>
              </w:rPr>
              <w:t>Gastos pagados por anticipado</w:t>
            </w:r>
          </w:p>
        </w:tc>
        <w:tc>
          <w:tcPr>
            <w:tcW w:w="7840" w:type="dxa"/>
            <w:tcMar>
              <w:top w:w="100" w:type="dxa"/>
              <w:left w:w="100" w:type="dxa"/>
              <w:bottom w:w="100" w:type="dxa"/>
              <w:right w:w="100" w:type="dxa"/>
            </w:tcMar>
          </w:tcPr>
          <w:p w14:paraId="00000138" w14:textId="77777777" w:rsidR="00CB252E" w:rsidRDefault="00000000">
            <w:pPr>
              <w:jc w:val="both"/>
              <w:rPr>
                <w:color w:val="000000"/>
                <w:sz w:val="20"/>
                <w:szCs w:val="20"/>
              </w:rPr>
            </w:pPr>
            <w:r>
              <w:rPr>
                <w:sz w:val="20"/>
                <w:szCs w:val="20"/>
              </w:rPr>
              <w:t>Representan una erogación efectuada por servicios que se van a recibir o por bienes que se van a consumir en el uso exclusivo del negocio y cuyo propósito no es el de venderlos ni utilizarlos en el proceso productivo.</w:t>
            </w:r>
          </w:p>
        </w:tc>
      </w:tr>
      <w:tr w:rsidR="00CB252E" w14:paraId="57398122" w14:textId="77777777">
        <w:trPr>
          <w:trHeight w:val="253"/>
        </w:trPr>
        <w:tc>
          <w:tcPr>
            <w:tcW w:w="2122" w:type="dxa"/>
            <w:tcMar>
              <w:top w:w="100" w:type="dxa"/>
              <w:left w:w="100" w:type="dxa"/>
              <w:bottom w:w="100" w:type="dxa"/>
              <w:right w:w="100" w:type="dxa"/>
            </w:tcMar>
            <w:vAlign w:val="center"/>
          </w:tcPr>
          <w:p w14:paraId="00000139" w14:textId="77777777" w:rsidR="00CB252E" w:rsidRDefault="00000000">
            <w:pPr>
              <w:rPr>
                <w:sz w:val="20"/>
                <w:szCs w:val="20"/>
              </w:rPr>
            </w:pPr>
            <w:r>
              <w:rPr>
                <w:sz w:val="20"/>
                <w:szCs w:val="20"/>
              </w:rPr>
              <w:t>NIC</w:t>
            </w:r>
          </w:p>
        </w:tc>
        <w:tc>
          <w:tcPr>
            <w:tcW w:w="7840" w:type="dxa"/>
            <w:tcMar>
              <w:top w:w="100" w:type="dxa"/>
              <w:left w:w="100" w:type="dxa"/>
              <w:bottom w:w="100" w:type="dxa"/>
              <w:right w:w="100" w:type="dxa"/>
            </w:tcMar>
          </w:tcPr>
          <w:p w14:paraId="0000013A" w14:textId="77777777" w:rsidR="00CB252E" w:rsidRDefault="00000000">
            <w:pPr>
              <w:jc w:val="both"/>
              <w:rPr>
                <w:sz w:val="20"/>
                <w:szCs w:val="20"/>
              </w:rPr>
            </w:pPr>
            <w:r>
              <w:rPr>
                <w:sz w:val="20"/>
                <w:szCs w:val="20"/>
              </w:rPr>
              <w:t>Las Normas Internacionales de Contabilidad (NIC), son un conjunto de normas que reglamenta la información que debe presentarse en los estados financieros de las empresas, así como la forma como esa información debe registrarse para su análisis. (</w:t>
            </w:r>
            <w:r>
              <w:rPr>
                <w:color w:val="000000"/>
                <w:sz w:val="20"/>
                <w:szCs w:val="20"/>
              </w:rPr>
              <w:t>Burgos Alarcón, 2007)</w:t>
            </w:r>
          </w:p>
        </w:tc>
      </w:tr>
      <w:tr w:rsidR="00CB252E" w14:paraId="541BD82E" w14:textId="77777777">
        <w:trPr>
          <w:trHeight w:val="253"/>
        </w:trPr>
        <w:tc>
          <w:tcPr>
            <w:tcW w:w="2122" w:type="dxa"/>
            <w:tcMar>
              <w:top w:w="100" w:type="dxa"/>
              <w:left w:w="100" w:type="dxa"/>
              <w:bottom w:w="100" w:type="dxa"/>
              <w:right w:w="100" w:type="dxa"/>
            </w:tcMar>
            <w:vAlign w:val="center"/>
          </w:tcPr>
          <w:p w14:paraId="0000013B" w14:textId="77777777" w:rsidR="00CB252E" w:rsidRDefault="00000000">
            <w:pPr>
              <w:rPr>
                <w:sz w:val="20"/>
                <w:szCs w:val="20"/>
              </w:rPr>
            </w:pPr>
            <w:r>
              <w:rPr>
                <w:sz w:val="20"/>
                <w:szCs w:val="20"/>
              </w:rPr>
              <w:t>NIIF</w:t>
            </w:r>
          </w:p>
        </w:tc>
        <w:tc>
          <w:tcPr>
            <w:tcW w:w="7840" w:type="dxa"/>
            <w:tcMar>
              <w:top w:w="100" w:type="dxa"/>
              <w:left w:w="100" w:type="dxa"/>
              <w:bottom w:w="100" w:type="dxa"/>
              <w:right w:w="100" w:type="dxa"/>
            </w:tcMar>
          </w:tcPr>
          <w:p w14:paraId="0000013C" w14:textId="77777777" w:rsidR="00CB252E" w:rsidRDefault="00000000">
            <w:pPr>
              <w:jc w:val="both"/>
              <w:rPr>
                <w:sz w:val="20"/>
                <w:szCs w:val="20"/>
              </w:rPr>
            </w:pPr>
            <w:r>
              <w:rPr>
                <w:sz w:val="20"/>
                <w:szCs w:val="20"/>
              </w:rPr>
              <w:t>Sigla en español de las IFRS - Normas expedidas por IASB. Este término trae incluidas las NIC (Normas Internacionales de Contabilidad), NIIF (Normas Internacionales de Información Financiera, así como las interpretaciones CINIIF y SIC.</w:t>
            </w:r>
          </w:p>
        </w:tc>
      </w:tr>
      <w:tr w:rsidR="00CB252E" w14:paraId="4B414CF4" w14:textId="77777777">
        <w:trPr>
          <w:trHeight w:val="253"/>
        </w:trPr>
        <w:tc>
          <w:tcPr>
            <w:tcW w:w="2122" w:type="dxa"/>
            <w:tcMar>
              <w:top w:w="100" w:type="dxa"/>
              <w:left w:w="100" w:type="dxa"/>
              <w:bottom w:w="100" w:type="dxa"/>
              <w:right w:w="100" w:type="dxa"/>
            </w:tcMar>
          </w:tcPr>
          <w:p w14:paraId="0000013D" w14:textId="77777777" w:rsidR="00CB252E" w:rsidRDefault="00000000">
            <w:pPr>
              <w:rPr>
                <w:sz w:val="20"/>
                <w:szCs w:val="20"/>
              </w:rPr>
            </w:pPr>
            <w:r>
              <w:rPr>
                <w:sz w:val="20"/>
                <w:szCs w:val="20"/>
              </w:rPr>
              <w:t>Pérdida por deterioro</w:t>
            </w:r>
          </w:p>
        </w:tc>
        <w:tc>
          <w:tcPr>
            <w:tcW w:w="7840" w:type="dxa"/>
            <w:tcMar>
              <w:top w:w="100" w:type="dxa"/>
              <w:left w:w="100" w:type="dxa"/>
              <w:bottom w:w="100" w:type="dxa"/>
              <w:right w:w="100" w:type="dxa"/>
            </w:tcMar>
          </w:tcPr>
          <w:p w14:paraId="0000013E" w14:textId="77777777" w:rsidR="00CB252E" w:rsidRDefault="00000000">
            <w:pPr>
              <w:jc w:val="both"/>
              <w:rPr>
                <w:sz w:val="20"/>
                <w:szCs w:val="20"/>
              </w:rPr>
            </w:pPr>
            <w:r>
              <w:rPr>
                <w:sz w:val="20"/>
                <w:szCs w:val="20"/>
              </w:rPr>
              <w:t>El exceso del importe en libros sobre el importe recuperable de un activo. (</w:t>
            </w:r>
            <w:r>
              <w:rPr>
                <w:color w:val="000000"/>
                <w:sz w:val="20"/>
                <w:szCs w:val="20"/>
              </w:rPr>
              <w:t>NIIF</w:t>
            </w:r>
            <w:r>
              <w:rPr>
                <w:sz w:val="20"/>
                <w:szCs w:val="20"/>
              </w:rPr>
              <w:t>, 2008, pág. 29)</w:t>
            </w:r>
          </w:p>
        </w:tc>
      </w:tr>
      <w:tr w:rsidR="00CB252E" w14:paraId="23320A3A" w14:textId="77777777">
        <w:trPr>
          <w:trHeight w:val="253"/>
        </w:trPr>
        <w:tc>
          <w:tcPr>
            <w:tcW w:w="2122" w:type="dxa"/>
            <w:tcMar>
              <w:top w:w="100" w:type="dxa"/>
              <w:left w:w="100" w:type="dxa"/>
              <w:bottom w:w="100" w:type="dxa"/>
              <w:right w:w="100" w:type="dxa"/>
            </w:tcMar>
          </w:tcPr>
          <w:p w14:paraId="0000013F" w14:textId="77777777" w:rsidR="00CB252E" w:rsidRDefault="00000000">
            <w:pPr>
              <w:rPr>
                <w:sz w:val="20"/>
                <w:szCs w:val="20"/>
              </w:rPr>
            </w:pPr>
            <w:r>
              <w:rPr>
                <w:sz w:val="20"/>
                <w:szCs w:val="20"/>
              </w:rPr>
              <w:t>Valor depreciable</w:t>
            </w:r>
          </w:p>
        </w:tc>
        <w:tc>
          <w:tcPr>
            <w:tcW w:w="7840" w:type="dxa"/>
            <w:tcMar>
              <w:top w:w="100" w:type="dxa"/>
              <w:left w:w="100" w:type="dxa"/>
              <w:bottom w:w="100" w:type="dxa"/>
              <w:right w:w="100" w:type="dxa"/>
            </w:tcMar>
          </w:tcPr>
          <w:p w14:paraId="00000140" w14:textId="77777777" w:rsidR="00CB252E" w:rsidRDefault="00000000">
            <w:pPr>
              <w:ind w:left="2" w:hanging="2"/>
              <w:jc w:val="both"/>
              <w:rPr>
                <w:sz w:val="20"/>
                <w:szCs w:val="20"/>
              </w:rPr>
            </w:pPr>
            <w:r>
              <w:rPr>
                <w:sz w:val="20"/>
                <w:szCs w:val="20"/>
              </w:rPr>
              <w:t>Es el costo de un activo u otro que lo sustituye menos su valor residual. (</w:t>
            </w:r>
            <w:r>
              <w:rPr>
                <w:color w:val="000000"/>
                <w:sz w:val="20"/>
                <w:szCs w:val="20"/>
              </w:rPr>
              <w:t>NIIF</w:t>
            </w:r>
            <w:r>
              <w:rPr>
                <w:sz w:val="20"/>
                <w:szCs w:val="20"/>
              </w:rPr>
              <w:t>, 2008)</w:t>
            </w:r>
          </w:p>
        </w:tc>
      </w:tr>
      <w:tr w:rsidR="00CB252E" w14:paraId="51BF27E3" w14:textId="77777777">
        <w:trPr>
          <w:trHeight w:val="253"/>
        </w:trPr>
        <w:tc>
          <w:tcPr>
            <w:tcW w:w="2122" w:type="dxa"/>
            <w:tcMar>
              <w:top w:w="100" w:type="dxa"/>
              <w:left w:w="100" w:type="dxa"/>
              <w:bottom w:w="100" w:type="dxa"/>
              <w:right w:w="100" w:type="dxa"/>
            </w:tcMar>
          </w:tcPr>
          <w:p w14:paraId="00000141" w14:textId="77777777" w:rsidR="00CB252E" w:rsidRDefault="00000000">
            <w:pPr>
              <w:rPr>
                <w:sz w:val="20"/>
                <w:szCs w:val="20"/>
              </w:rPr>
            </w:pPr>
            <w:r>
              <w:rPr>
                <w:sz w:val="20"/>
                <w:szCs w:val="20"/>
              </w:rPr>
              <w:t>Valor residual</w:t>
            </w:r>
          </w:p>
        </w:tc>
        <w:tc>
          <w:tcPr>
            <w:tcW w:w="7840" w:type="dxa"/>
            <w:tcMar>
              <w:top w:w="100" w:type="dxa"/>
              <w:left w:w="100" w:type="dxa"/>
              <w:bottom w:w="100" w:type="dxa"/>
              <w:right w:w="100" w:type="dxa"/>
            </w:tcMar>
          </w:tcPr>
          <w:p w14:paraId="00000142" w14:textId="77777777" w:rsidR="00CB252E" w:rsidRDefault="00000000">
            <w:pPr>
              <w:ind w:left="2" w:hanging="2"/>
              <w:jc w:val="both"/>
              <w:rPr>
                <w:sz w:val="20"/>
                <w:szCs w:val="20"/>
              </w:rPr>
            </w:pPr>
            <w:r>
              <w:rPr>
                <w:sz w:val="20"/>
                <w:szCs w:val="20"/>
              </w:rPr>
              <w:t>Es el importe estimado que la entidad podría obtener de un activo por su disposición, después de haber deducido los costos estimados para su disposición, si el activo tuviera ya la edad y condición esperadas al término de su vida útil. (CTCP, 2020, 11 de diciembre)</w:t>
            </w:r>
          </w:p>
        </w:tc>
      </w:tr>
      <w:tr w:rsidR="00CB252E" w14:paraId="2D6A20FC" w14:textId="77777777">
        <w:trPr>
          <w:trHeight w:val="253"/>
        </w:trPr>
        <w:tc>
          <w:tcPr>
            <w:tcW w:w="2122" w:type="dxa"/>
            <w:tcMar>
              <w:top w:w="100" w:type="dxa"/>
              <w:left w:w="100" w:type="dxa"/>
              <w:bottom w:w="100" w:type="dxa"/>
              <w:right w:w="100" w:type="dxa"/>
            </w:tcMar>
          </w:tcPr>
          <w:p w14:paraId="00000143" w14:textId="77777777" w:rsidR="00CB252E" w:rsidRDefault="00000000">
            <w:pPr>
              <w:ind w:left="2" w:hanging="2"/>
              <w:rPr>
                <w:sz w:val="20"/>
                <w:szCs w:val="20"/>
              </w:rPr>
            </w:pPr>
            <w:r>
              <w:rPr>
                <w:sz w:val="20"/>
                <w:szCs w:val="20"/>
              </w:rPr>
              <w:t>Vida útil</w:t>
            </w:r>
          </w:p>
        </w:tc>
        <w:tc>
          <w:tcPr>
            <w:tcW w:w="7840" w:type="dxa"/>
            <w:tcMar>
              <w:top w:w="100" w:type="dxa"/>
              <w:left w:w="100" w:type="dxa"/>
              <w:bottom w:w="100" w:type="dxa"/>
              <w:right w:w="100" w:type="dxa"/>
            </w:tcMar>
          </w:tcPr>
          <w:p w14:paraId="00000144" w14:textId="77777777" w:rsidR="00CB252E" w:rsidRDefault="00000000">
            <w:pPr>
              <w:ind w:left="2" w:hanging="2"/>
              <w:jc w:val="both"/>
              <w:rPr>
                <w:sz w:val="20"/>
                <w:szCs w:val="20"/>
              </w:rPr>
            </w:pPr>
            <w:r>
              <w:rPr>
                <w:sz w:val="20"/>
                <w:szCs w:val="20"/>
              </w:rPr>
              <w:t>El periodo durante el cual se espera que la entidad utilice el activo; o el número de unidades de producción o similares que se espera obtener del mismo por parte de una entidad. (CTCP, 2020, 11 de diciembre)</w:t>
            </w:r>
          </w:p>
        </w:tc>
      </w:tr>
    </w:tbl>
    <w:p w14:paraId="00000145" w14:textId="77777777" w:rsidR="00CB252E" w:rsidRDefault="00CB252E">
      <w:pPr>
        <w:spacing w:before="240"/>
        <w:rPr>
          <w:sz w:val="20"/>
          <w:szCs w:val="20"/>
        </w:rPr>
      </w:pPr>
    </w:p>
    <w:p w14:paraId="00000146" w14:textId="77777777" w:rsidR="00CB252E" w:rsidRDefault="00CB252E">
      <w:pPr>
        <w:spacing w:before="240"/>
        <w:rPr>
          <w:sz w:val="20"/>
          <w:szCs w:val="20"/>
        </w:rPr>
      </w:pPr>
    </w:p>
    <w:p w14:paraId="00000147" w14:textId="77777777" w:rsidR="00CB252E" w:rsidRDefault="00000000">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REFERENCIAS BIBLIOGRÁFICAS: </w:t>
      </w:r>
    </w:p>
    <w:p w14:paraId="00000148" w14:textId="77777777" w:rsidR="00CB252E" w:rsidRDefault="00CB252E">
      <w:pPr>
        <w:pBdr>
          <w:top w:val="nil"/>
          <w:left w:val="nil"/>
          <w:bottom w:val="nil"/>
          <w:right w:val="nil"/>
          <w:between w:val="nil"/>
        </w:pBdr>
        <w:spacing w:before="240"/>
        <w:ind w:left="284"/>
        <w:jc w:val="both"/>
        <w:rPr>
          <w:b/>
          <w:color w:val="000000"/>
          <w:sz w:val="20"/>
          <w:szCs w:val="20"/>
        </w:rPr>
      </w:pPr>
    </w:p>
    <w:p w14:paraId="00000149" w14:textId="77777777" w:rsidR="00CB252E" w:rsidRDefault="00000000">
      <w:pPr>
        <w:ind w:left="360"/>
        <w:jc w:val="both"/>
        <w:rPr>
          <w:color w:val="000000"/>
          <w:sz w:val="20"/>
          <w:szCs w:val="20"/>
        </w:rPr>
      </w:pPr>
      <w:r>
        <w:rPr>
          <w:color w:val="000000"/>
          <w:sz w:val="20"/>
          <w:szCs w:val="20"/>
        </w:rPr>
        <w:t xml:space="preserve">Blanco, S. (2013). Estándares/normas internacionales de información financiera (IFRS7NIIF). ECOE Ediciones. </w:t>
      </w:r>
    </w:p>
    <w:p w14:paraId="0000014A" w14:textId="77777777" w:rsidR="00CB252E" w:rsidRDefault="00CB252E">
      <w:pPr>
        <w:ind w:left="360"/>
        <w:jc w:val="both"/>
        <w:rPr>
          <w:color w:val="000000"/>
          <w:sz w:val="20"/>
          <w:szCs w:val="20"/>
        </w:rPr>
      </w:pPr>
    </w:p>
    <w:p w14:paraId="0000014B" w14:textId="77777777" w:rsidR="00CB252E" w:rsidRDefault="00000000">
      <w:pPr>
        <w:ind w:left="360"/>
        <w:jc w:val="both"/>
        <w:rPr>
          <w:color w:val="000000"/>
          <w:sz w:val="20"/>
          <w:szCs w:val="20"/>
        </w:rPr>
      </w:pPr>
      <w:r>
        <w:rPr>
          <w:color w:val="000000"/>
          <w:sz w:val="20"/>
          <w:szCs w:val="20"/>
        </w:rPr>
        <w:t>Burgos Alarcón, H. (2007). Normas Internacionales de Contabilidad. Panorama. Universidad Politécnico Grancolombiano, 1(3), 65-70.</w:t>
      </w:r>
    </w:p>
    <w:p w14:paraId="0000014C" w14:textId="77777777" w:rsidR="00CB252E" w:rsidRDefault="00CB252E">
      <w:pPr>
        <w:ind w:left="360"/>
        <w:jc w:val="both"/>
        <w:rPr>
          <w:color w:val="000000"/>
          <w:sz w:val="20"/>
          <w:szCs w:val="20"/>
        </w:rPr>
      </w:pPr>
    </w:p>
    <w:p w14:paraId="0000014D" w14:textId="77777777" w:rsidR="00CB252E" w:rsidRDefault="00000000">
      <w:pPr>
        <w:ind w:left="360"/>
        <w:jc w:val="both"/>
        <w:rPr>
          <w:color w:val="000000"/>
          <w:sz w:val="20"/>
          <w:szCs w:val="20"/>
        </w:rPr>
      </w:pPr>
      <w:r>
        <w:rPr>
          <w:color w:val="000000"/>
          <w:sz w:val="20"/>
          <w:szCs w:val="20"/>
        </w:rPr>
        <w:t xml:space="preserve">Godoy Ramírez, E. (2014). NIIF Presentación de Estados Financieros, aplicación y desarrollo, ejemplos, ejercicios prácticos, adopción por primera vez. Grupo Editorial Nueva Legislación. IFRS Fundación. </w:t>
      </w:r>
    </w:p>
    <w:p w14:paraId="0000014E" w14:textId="77777777" w:rsidR="00CB252E" w:rsidRDefault="00CB252E">
      <w:pPr>
        <w:ind w:left="360"/>
        <w:jc w:val="both"/>
        <w:rPr>
          <w:color w:val="000000"/>
          <w:sz w:val="20"/>
          <w:szCs w:val="20"/>
        </w:rPr>
      </w:pPr>
    </w:p>
    <w:p w14:paraId="0000014F" w14:textId="77777777" w:rsidR="00CB252E" w:rsidRDefault="00000000">
      <w:pPr>
        <w:ind w:left="360"/>
        <w:jc w:val="both"/>
        <w:rPr>
          <w:color w:val="0000FF"/>
          <w:sz w:val="20"/>
          <w:szCs w:val="20"/>
          <w:u w:val="single"/>
        </w:rPr>
      </w:pPr>
      <w:r>
        <w:rPr>
          <w:color w:val="000000"/>
          <w:sz w:val="20"/>
          <w:szCs w:val="20"/>
        </w:rPr>
        <w:t xml:space="preserve">Ley 1349 (2020, 10 de diciembre). Diario oficial 47.751, Bogotá, D.C., Colombia.  </w:t>
      </w:r>
      <w:hyperlink r:id="rId16">
        <w:r>
          <w:rPr>
            <w:color w:val="0000FF"/>
            <w:sz w:val="20"/>
            <w:szCs w:val="20"/>
            <w:u w:val="single"/>
          </w:rPr>
          <w:t>http://www.secretariasenado.gov.co/senado/basedoc/ley_1349_2009.html</w:t>
        </w:r>
      </w:hyperlink>
    </w:p>
    <w:p w14:paraId="00000150" w14:textId="77777777" w:rsidR="00CB252E" w:rsidRDefault="00CB252E">
      <w:pPr>
        <w:ind w:left="360"/>
        <w:jc w:val="both"/>
        <w:rPr>
          <w:color w:val="000000"/>
          <w:sz w:val="20"/>
          <w:szCs w:val="20"/>
        </w:rPr>
      </w:pPr>
    </w:p>
    <w:p w14:paraId="00000151" w14:textId="77777777" w:rsidR="00CB252E" w:rsidRDefault="00000000">
      <w:pPr>
        <w:ind w:left="360"/>
        <w:jc w:val="both"/>
        <w:rPr>
          <w:color w:val="0000FF"/>
          <w:sz w:val="20"/>
          <w:szCs w:val="20"/>
          <w:u w:val="single"/>
        </w:rPr>
      </w:pPr>
      <w:r>
        <w:rPr>
          <w:color w:val="000000"/>
          <w:sz w:val="20"/>
          <w:szCs w:val="20"/>
        </w:rPr>
        <w:t xml:space="preserve">SUIN Juriscoop. (2020, 10 de diciembre).Decreto 2784 de diciembre 2012. </w:t>
      </w:r>
      <w:hyperlink r:id="rId17">
        <w:r>
          <w:rPr>
            <w:color w:val="0000FF"/>
            <w:sz w:val="20"/>
            <w:szCs w:val="20"/>
            <w:u w:val="single"/>
          </w:rPr>
          <w:t>http://suin.gov.co/viewDocument.asp?id=1776952</w:t>
        </w:r>
      </w:hyperlink>
    </w:p>
    <w:p w14:paraId="00000152" w14:textId="77777777" w:rsidR="00CB252E" w:rsidRDefault="00CB252E">
      <w:pPr>
        <w:ind w:left="360"/>
        <w:jc w:val="both"/>
        <w:rPr>
          <w:color w:val="000000"/>
          <w:sz w:val="20"/>
          <w:szCs w:val="20"/>
        </w:rPr>
      </w:pPr>
    </w:p>
    <w:p w14:paraId="00000153" w14:textId="77777777" w:rsidR="00CB252E" w:rsidRDefault="00000000">
      <w:pPr>
        <w:ind w:left="360"/>
        <w:jc w:val="both"/>
        <w:rPr>
          <w:color w:val="0000FF"/>
          <w:sz w:val="20"/>
          <w:szCs w:val="20"/>
          <w:u w:val="single"/>
        </w:rPr>
      </w:pPr>
      <w:r>
        <w:rPr>
          <w:color w:val="000000"/>
          <w:sz w:val="20"/>
          <w:szCs w:val="20"/>
        </w:rPr>
        <w:t xml:space="preserve">CTCP (2020, 10 de diciembre). NIC 16 </w:t>
      </w:r>
      <w:hyperlink r:id="rId18">
        <w:r>
          <w:rPr>
            <w:color w:val="0000FF"/>
            <w:sz w:val="20"/>
            <w:szCs w:val="20"/>
            <w:u w:val="single"/>
          </w:rPr>
          <w:t>https://www.ctcp.gov.co/proyectos/contabilidad-e-informacion-financiera/documentos-organismos-internacionales/compilacion-marcos-tecnicos-de-informacion-financi/1534369767-2310</w:t>
        </w:r>
      </w:hyperlink>
    </w:p>
    <w:p w14:paraId="00000154" w14:textId="77777777" w:rsidR="00CB252E" w:rsidRDefault="00CB252E">
      <w:pPr>
        <w:ind w:left="360"/>
        <w:jc w:val="both"/>
        <w:rPr>
          <w:color w:val="000000"/>
          <w:sz w:val="20"/>
          <w:szCs w:val="20"/>
        </w:rPr>
      </w:pPr>
    </w:p>
    <w:p w14:paraId="00000155" w14:textId="77777777" w:rsidR="00CB252E" w:rsidRDefault="00000000">
      <w:pPr>
        <w:ind w:left="360"/>
        <w:jc w:val="both"/>
        <w:rPr>
          <w:color w:val="000000"/>
          <w:sz w:val="20"/>
          <w:szCs w:val="20"/>
        </w:rPr>
      </w:pPr>
      <w:r>
        <w:rPr>
          <w:color w:val="000000"/>
          <w:sz w:val="20"/>
          <w:szCs w:val="20"/>
        </w:rPr>
        <w:t>NIIF PARA LAS PYMES – JULIO 2009- sección 18 Activos Intangibles Distintos de la Plusvalía.</w:t>
      </w:r>
    </w:p>
    <w:p w14:paraId="00000156" w14:textId="77777777" w:rsidR="00CB252E" w:rsidRDefault="00000000">
      <w:pPr>
        <w:ind w:left="360"/>
        <w:jc w:val="both"/>
        <w:rPr>
          <w:color w:val="000000"/>
          <w:sz w:val="20"/>
          <w:szCs w:val="20"/>
        </w:rPr>
      </w:pPr>
      <w:r>
        <w:rPr>
          <w:color w:val="000000"/>
          <w:sz w:val="20"/>
          <w:szCs w:val="20"/>
        </w:rPr>
        <w:t xml:space="preserve">Normas Internacionales de Información Financiera (NIIF) (2008). Guía rápida IFRS 2008. </w:t>
      </w:r>
      <w:hyperlink r:id="rId19">
        <w:r>
          <w:rPr>
            <w:color w:val="0000FF"/>
            <w:sz w:val="20"/>
            <w:szCs w:val="20"/>
            <w:u w:val="single"/>
          </w:rPr>
          <w:t>https://www.pwc.com/</w:t>
        </w:r>
      </w:hyperlink>
      <w:r>
        <w:rPr>
          <w:color w:val="000000"/>
          <w:sz w:val="20"/>
          <w:szCs w:val="20"/>
        </w:rPr>
        <w:t xml:space="preserve">. </w:t>
      </w:r>
      <w:hyperlink r:id="rId20">
        <w:r>
          <w:rPr>
            <w:color w:val="0000FF"/>
            <w:sz w:val="20"/>
            <w:szCs w:val="20"/>
            <w:u w:val="single"/>
          </w:rPr>
          <w:t>https://www.pwc.com/cl/es/ifrs/assets/grifrs_2008.pdf</w:t>
        </w:r>
      </w:hyperlink>
    </w:p>
    <w:p w14:paraId="00000157" w14:textId="77777777" w:rsidR="00CB252E" w:rsidRDefault="00CB252E">
      <w:pPr>
        <w:ind w:left="360"/>
        <w:jc w:val="both"/>
        <w:rPr>
          <w:color w:val="000000"/>
          <w:sz w:val="20"/>
          <w:szCs w:val="20"/>
        </w:rPr>
      </w:pPr>
    </w:p>
    <w:p w14:paraId="00000158" w14:textId="77777777" w:rsidR="00CB252E" w:rsidRDefault="00000000">
      <w:pPr>
        <w:pBdr>
          <w:top w:val="nil"/>
          <w:left w:val="nil"/>
          <w:bottom w:val="nil"/>
          <w:right w:val="nil"/>
          <w:between w:val="nil"/>
        </w:pBdr>
        <w:spacing w:before="240"/>
        <w:ind w:left="360"/>
        <w:jc w:val="both"/>
        <w:rPr>
          <w:b/>
          <w:color w:val="000000"/>
          <w:sz w:val="20"/>
          <w:szCs w:val="20"/>
        </w:rPr>
      </w:pPr>
      <w:r>
        <w:rPr>
          <w:b/>
          <w:color w:val="000000"/>
          <w:sz w:val="20"/>
          <w:szCs w:val="20"/>
        </w:rPr>
        <w:t>CONTROL DEL DOCUMENTO</w:t>
      </w:r>
    </w:p>
    <w:p w14:paraId="00000159" w14:textId="77777777" w:rsidR="00CB252E" w:rsidRDefault="00CB252E">
      <w:pPr>
        <w:spacing w:before="240"/>
        <w:jc w:val="both"/>
        <w:rPr>
          <w:b/>
          <w:sz w:val="20"/>
          <w:szCs w:val="20"/>
        </w:rPr>
      </w:pPr>
    </w:p>
    <w:tbl>
      <w:tblPr>
        <w:tblStyle w:val="afc"/>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CB252E" w14:paraId="5B801E24" w14:textId="77777777">
        <w:tc>
          <w:tcPr>
            <w:tcW w:w="1272" w:type="dxa"/>
            <w:tcBorders>
              <w:top w:val="nil"/>
              <w:left w:val="nil"/>
            </w:tcBorders>
          </w:tcPr>
          <w:p w14:paraId="0000015A" w14:textId="77777777" w:rsidR="00CB252E" w:rsidRDefault="00CB252E">
            <w:pPr>
              <w:spacing w:before="240"/>
              <w:jc w:val="both"/>
              <w:rPr>
                <w:sz w:val="20"/>
                <w:szCs w:val="20"/>
              </w:rPr>
            </w:pPr>
          </w:p>
        </w:tc>
        <w:tc>
          <w:tcPr>
            <w:tcW w:w="1991" w:type="dxa"/>
            <w:vAlign w:val="center"/>
          </w:tcPr>
          <w:p w14:paraId="0000015B" w14:textId="77777777" w:rsidR="00CB252E" w:rsidRDefault="00000000">
            <w:pPr>
              <w:spacing w:before="240"/>
              <w:rPr>
                <w:sz w:val="20"/>
                <w:szCs w:val="20"/>
              </w:rPr>
            </w:pPr>
            <w:r>
              <w:rPr>
                <w:sz w:val="20"/>
                <w:szCs w:val="20"/>
              </w:rPr>
              <w:t>Nombre</w:t>
            </w:r>
          </w:p>
        </w:tc>
        <w:tc>
          <w:tcPr>
            <w:tcW w:w="1559" w:type="dxa"/>
            <w:vAlign w:val="center"/>
          </w:tcPr>
          <w:p w14:paraId="0000015C" w14:textId="77777777" w:rsidR="00CB252E" w:rsidRDefault="00000000">
            <w:pPr>
              <w:spacing w:before="240"/>
              <w:rPr>
                <w:sz w:val="20"/>
                <w:szCs w:val="20"/>
              </w:rPr>
            </w:pPr>
            <w:r>
              <w:rPr>
                <w:sz w:val="20"/>
                <w:szCs w:val="20"/>
              </w:rPr>
              <w:t>Cargo</w:t>
            </w:r>
          </w:p>
        </w:tc>
        <w:tc>
          <w:tcPr>
            <w:tcW w:w="3257" w:type="dxa"/>
            <w:vAlign w:val="center"/>
          </w:tcPr>
          <w:p w14:paraId="0000015D" w14:textId="77777777" w:rsidR="00CB252E" w:rsidRDefault="00000000">
            <w:pPr>
              <w:spacing w:before="240"/>
              <w:rPr>
                <w:sz w:val="20"/>
                <w:szCs w:val="20"/>
              </w:rPr>
            </w:pPr>
            <w:r>
              <w:rPr>
                <w:sz w:val="20"/>
                <w:szCs w:val="20"/>
              </w:rPr>
              <w:t>Dependencia</w:t>
            </w:r>
          </w:p>
        </w:tc>
        <w:tc>
          <w:tcPr>
            <w:tcW w:w="1888" w:type="dxa"/>
            <w:vAlign w:val="center"/>
          </w:tcPr>
          <w:p w14:paraId="0000015E" w14:textId="77777777" w:rsidR="00CB252E" w:rsidRDefault="00000000">
            <w:pPr>
              <w:spacing w:before="240"/>
              <w:rPr>
                <w:sz w:val="20"/>
                <w:szCs w:val="20"/>
              </w:rPr>
            </w:pPr>
            <w:r>
              <w:rPr>
                <w:sz w:val="20"/>
                <w:szCs w:val="20"/>
              </w:rPr>
              <w:t>Fecha</w:t>
            </w:r>
          </w:p>
        </w:tc>
      </w:tr>
      <w:tr w:rsidR="00CB252E" w14:paraId="5D112690" w14:textId="77777777">
        <w:trPr>
          <w:trHeight w:val="340"/>
        </w:trPr>
        <w:tc>
          <w:tcPr>
            <w:tcW w:w="1272" w:type="dxa"/>
            <w:vMerge w:val="restart"/>
          </w:tcPr>
          <w:p w14:paraId="0000015F" w14:textId="77777777" w:rsidR="00CB252E" w:rsidRDefault="00CB252E">
            <w:pPr>
              <w:spacing w:before="240"/>
              <w:jc w:val="center"/>
              <w:rPr>
                <w:sz w:val="20"/>
                <w:szCs w:val="20"/>
              </w:rPr>
            </w:pPr>
          </w:p>
          <w:p w14:paraId="00000160" w14:textId="77777777" w:rsidR="00CB252E" w:rsidRDefault="00000000">
            <w:pPr>
              <w:spacing w:before="240"/>
              <w:jc w:val="center"/>
              <w:rPr>
                <w:sz w:val="20"/>
                <w:szCs w:val="20"/>
              </w:rPr>
            </w:pPr>
            <w:r>
              <w:rPr>
                <w:sz w:val="20"/>
                <w:szCs w:val="20"/>
              </w:rPr>
              <w:t>Autor (es)</w:t>
            </w:r>
          </w:p>
        </w:tc>
        <w:tc>
          <w:tcPr>
            <w:tcW w:w="1991" w:type="dxa"/>
          </w:tcPr>
          <w:p w14:paraId="00000161" w14:textId="77777777" w:rsidR="00CB252E" w:rsidRDefault="00000000">
            <w:pPr>
              <w:ind w:left="2" w:hanging="2"/>
              <w:jc w:val="both"/>
              <w:rPr>
                <w:sz w:val="20"/>
                <w:szCs w:val="20"/>
              </w:rPr>
            </w:pPr>
            <w:r>
              <w:rPr>
                <w:sz w:val="20"/>
                <w:szCs w:val="20"/>
              </w:rPr>
              <w:t>Claudia Briceida Coy Coy</w:t>
            </w:r>
          </w:p>
        </w:tc>
        <w:tc>
          <w:tcPr>
            <w:tcW w:w="1559" w:type="dxa"/>
          </w:tcPr>
          <w:p w14:paraId="00000162" w14:textId="77777777" w:rsidR="00CB252E" w:rsidRDefault="00000000">
            <w:pPr>
              <w:spacing w:before="240"/>
              <w:jc w:val="both"/>
              <w:rPr>
                <w:sz w:val="20"/>
                <w:szCs w:val="20"/>
              </w:rPr>
            </w:pPr>
            <w:r>
              <w:rPr>
                <w:sz w:val="20"/>
                <w:szCs w:val="20"/>
              </w:rPr>
              <w:t>Instructor</w:t>
            </w:r>
          </w:p>
        </w:tc>
        <w:tc>
          <w:tcPr>
            <w:tcW w:w="3257" w:type="dxa"/>
          </w:tcPr>
          <w:p w14:paraId="00000163" w14:textId="77777777" w:rsidR="00CB252E" w:rsidRDefault="00000000">
            <w:pPr>
              <w:spacing w:before="240"/>
              <w:jc w:val="both"/>
              <w:rPr>
                <w:sz w:val="20"/>
                <w:szCs w:val="20"/>
              </w:rPr>
            </w:pPr>
            <w:r>
              <w:rPr>
                <w:sz w:val="20"/>
                <w:szCs w:val="20"/>
              </w:rPr>
              <w:t>Centro de Contabilidad</w:t>
            </w:r>
          </w:p>
        </w:tc>
        <w:tc>
          <w:tcPr>
            <w:tcW w:w="1888" w:type="dxa"/>
          </w:tcPr>
          <w:p w14:paraId="00000164" w14:textId="77777777" w:rsidR="00CB252E" w:rsidRDefault="00000000">
            <w:pPr>
              <w:spacing w:before="240"/>
              <w:jc w:val="both"/>
              <w:rPr>
                <w:sz w:val="20"/>
                <w:szCs w:val="20"/>
              </w:rPr>
            </w:pPr>
            <w:r>
              <w:rPr>
                <w:sz w:val="20"/>
                <w:szCs w:val="20"/>
              </w:rPr>
              <w:t>Noviembre de 2020</w:t>
            </w:r>
          </w:p>
        </w:tc>
      </w:tr>
      <w:tr w:rsidR="00CB252E" w14:paraId="76015A32" w14:textId="77777777">
        <w:trPr>
          <w:trHeight w:val="340"/>
        </w:trPr>
        <w:tc>
          <w:tcPr>
            <w:tcW w:w="1272" w:type="dxa"/>
            <w:vMerge/>
          </w:tcPr>
          <w:p w14:paraId="00000165" w14:textId="77777777" w:rsidR="00CB252E" w:rsidRDefault="00CB252E">
            <w:pPr>
              <w:widowControl w:val="0"/>
              <w:pBdr>
                <w:top w:val="nil"/>
                <w:left w:val="nil"/>
                <w:bottom w:val="nil"/>
                <w:right w:val="nil"/>
                <w:between w:val="nil"/>
              </w:pBdr>
              <w:spacing w:line="276" w:lineRule="auto"/>
              <w:rPr>
                <w:sz w:val="20"/>
                <w:szCs w:val="20"/>
              </w:rPr>
            </w:pPr>
          </w:p>
        </w:tc>
        <w:tc>
          <w:tcPr>
            <w:tcW w:w="1991" w:type="dxa"/>
          </w:tcPr>
          <w:p w14:paraId="00000166" w14:textId="77777777" w:rsidR="00CB252E" w:rsidRDefault="00000000">
            <w:pPr>
              <w:ind w:left="2" w:hanging="2"/>
              <w:jc w:val="both"/>
              <w:rPr>
                <w:sz w:val="20"/>
                <w:szCs w:val="20"/>
              </w:rPr>
            </w:pPr>
            <w:r>
              <w:rPr>
                <w:sz w:val="20"/>
                <w:szCs w:val="20"/>
              </w:rPr>
              <w:t>Angy Fernanda Salazar</w:t>
            </w:r>
          </w:p>
        </w:tc>
        <w:tc>
          <w:tcPr>
            <w:tcW w:w="1559" w:type="dxa"/>
          </w:tcPr>
          <w:p w14:paraId="00000167" w14:textId="77777777" w:rsidR="00CB252E" w:rsidRDefault="00000000">
            <w:pPr>
              <w:ind w:left="2" w:hanging="2"/>
              <w:jc w:val="both"/>
              <w:rPr>
                <w:sz w:val="20"/>
                <w:szCs w:val="20"/>
              </w:rPr>
            </w:pPr>
            <w:r>
              <w:rPr>
                <w:sz w:val="20"/>
                <w:szCs w:val="20"/>
              </w:rPr>
              <w:t>Instructor</w:t>
            </w:r>
          </w:p>
        </w:tc>
        <w:tc>
          <w:tcPr>
            <w:tcW w:w="3257" w:type="dxa"/>
          </w:tcPr>
          <w:p w14:paraId="00000168" w14:textId="77777777" w:rsidR="00CB252E" w:rsidRDefault="00000000">
            <w:pPr>
              <w:ind w:left="2" w:hanging="2"/>
              <w:jc w:val="both"/>
              <w:rPr>
                <w:sz w:val="20"/>
                <w:szCs w:val="20"/>
              </w:rPr>
            </w:pPr>
            <w:r>
              <w:rPr>
                <w:sz w:val="20"/>
                <w:szCs w:val="20"/>
              </w:rPr>
              <w:t>Centro de Contabilidad</w:t>
            </w:r>
          </w:p>
        </w:tc>
        <w:tc>
          <w:tcPr>
            <w:tcW w:w="1888" w:type="dxa"/>
          </w:tcPr>
          <w:p w14:paraId="00000169" w14:textId="77777777" w:rsidR="00CB252E" w:rsidRDefault="00000000">
            <w:pPr>
              <w:ind w:left="2" w:hanging="2"/>
              <w:jc w:val="both"/>
              <w:rPr>
                <w:sz w:val="20"/>
                <w:szCs w:val="20"/>
              </w:rPr>
            </w:pPr>
            <w:r>
              <w:rPr>
                <w:sz w:val="20"/>
                <w:szCs w:val="20"/>
              </w:rPr>
              <w:t>Noviembre de 2020</w:t>
            </w:r>
          </w:p>
        </w:tc>
      </w:tr>
      <w:tr w:rsidR="00CB252E" w14:paraId="2CEE21FB" w14:textId="77777777">
        <w:trPr>
          <w:trHeight w:val="340"/>
        </w:trPr>
        <w:tc>
          <w:tcPr>
            <w:tcW w:w="1272" w:type="dxa"/>
            <w:vMerge/>
          </w:tcPr>
          <w:p w14:paraId="0000016A" w14:textId="77777777" w:rsidR="00CB252E" w:rsidRDefault="00CB252E">
            <w:pPr>
              <w:widowControl w:val="0"/>
              <w:pBdr>
                <w:top w:val="nil"/>
                <w:left w:val="nil"/>
                <w:bottom w:val="nil"/>
                <w:right w:val="nil"/>
                <w:between w:val="nil"/>
              </w:pBdr>
              <w:spacing w:line="276" w:lineRule="auto"/>
              <w:rPr>
                <w:sz w:val="20"/>
                <w:szCs w:val="20"/>
              </w:rPr>
            </w:pPr>
          </w:p>
        </w:tc>
        <w:tc>
          <w:tcPr>
            <w:tcW w:w="1991" w:type="dxa"/>
          </w:tcPr>
          <w:p w14:paraId="0000016B" w14:textId="77777777" w:rsidR="00CB252E" w:rsidRDefault="00000000">
            <w:pPr>
              <w:ind w:left="2" w:hanging="2"/>
              <w:jc w:val="both"/>
              <w:rPr>
                <w:sz w:val="20"/>
                <w:szCs w:val="20"/>
              </w:rPr>
            </w:pPr>
            <w:r>
              <w:rPr>
                <w:sz w:val="20"/>
                <w:szCs w:val="20"/>
              </w:rPr>
              <w:t>Maryuri Agudelo Franco</w:t>
            </w:r>
          </w:p>
        </w:tc>
        <w:tc>
          <w:tcPr>
            <w:tcW w:w="1559" w:type="dxa"/>
          </w:tcPr>
          <w:p w14:paraId="0000016C" w14:textId="77777777" w:rsidR="00CB252E" w:rsidRDefault="00000000">
            <w:pPr>
              <w:ind w:left="2" w:hanging="2"/>
              <w:jc w:val="both"/>
              <w:rPr>
                <w:sz w:val="20"/>
                <w:szCs w:val="20"/>
              </w:rPr>
            </w:pPr>
            <w:r>
              <w:rPr>
                <w:sz w:val="20"/>
                <w:szCs w:val="20"/>
              </w:rPr>
              <w:t>Diseñadora Instruccional</w:t>
            </w:r>
          </w:p>
        </w:tc>
        <w:tc>
          <w:tcPr>
            <w:tcW w:w="3257" w:type="dxa"/>
          </w:tcPr>
          <w:p w14:paraId="0000016D" w14:textId="77777777" w:rsidR="00CB252E" w:rsidRDefault="00000000">
            <w:pPr>
              <w:ind w:left="2" w:hanging="2"/>
              <w:jc w:val="both"/>
              <w:rPr>
                <w:sz w:val="20"/>
                <w:szCs w:val="20"/>
              </w:rPr>
            </w:pPr>
            <w:r>
              <w:rPr>
                <w:sz w:val="20"/>
                <w:szCs w:val="20"/>
              </w:rPr>
              <w:t>Centro de Diseño y Metrología</w:t>
            </w:r>
          </w:p>
          <w:p w14:paraId="0000016E" w14:textId="77777777" w:rsidR="00CB252E" w:rsidRDefault="00CB252E">
            <w:pPr>
              <w:jc w:val="both"/>
              <w:rPr>
                <w:sz w:val="20"/>
                <w:szCs w:val="20"/>
              </w:rPr>
            </w:pPr>
          </w:p>
        </w:tc>
        <w:tc>
          <w:tcPr>
            <w:tcW w:w="1888" w:type="dxa"/>
          </w:tcPr>
          <w:p w14:paraId="0000016F" w14:textId="77777777" w:rsidR="00CB252E" w:rsidRDefault="00000000">
            <w:pPr>
              <w:ind w:left="2" w:hanging="2"/>
              <w:jc w:val="both"/>
              <w:rPr>
                <w:sz w:val="20"/>
                <w:szCs w:val="20"/>
              </w:rPr>
            </w:pPr>
            <w:r>
              <w:rPr>
                <w:sz w:val="20"/>
                <w:szCs w:val="20"/>
              </w:rPr>
              <w:t>Diciembre de 2020</w:t>
            </w:r>
          </w:p>
          <w:p w14:paraId="00000170" w14:textId="77777777" w:rsidR="00CB252E" w:rsidRDefault="00CB252E">
            <w:pPr>
              <w:ind w:left="2" w:hanging="2"/>
              <w:jc w:val="both"/>
              <w:rPr>
                <w:sz w:val="20"/>
                <w:szCs w:val="20"/>
              </w:rPr>
            </w:pPr>
          </w:p>
        </w:tc>
      </w:tr>
    </w:tbl>
    <w:p w14:paraId="00000171" w14:textId="77777777" w:rsidR="00CB252E" w:rsidRDefault="00000000">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CONTROL DE CAMBIOS </w:t>
      </w:r>
    </w:p>
    <w:p w14:paraId="00000172" w14:textId="77777777" w:rsidR="00CB252E" w:rsidRDefault="00CB252E">
      <w:pPr>
        <w:spacing w:before="240"/>
        <w:rPr>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CB252E" w14:paraId="469A70BA" w14:textId="77777777">
        <w:tc>
          <w:tcPr>
            <w:tcW w:w="1264" w:type="dxa"/>
            <w:tcBorders>
              <w:top w:val="nil"/>
              <w:left w:val="nil"/>
            </w:tcBorders>
          </w:tcPr>
          <w:p w14:paraId="00000173" w14:textId="77777777" w:rsidR="00CB252E" w:rsidRDefault="00CB252E">
            <w:pPr>
              <w:spacing w:before="240"/>
              <w:jc w:val="both"/>
              <w:rPr>
                <w:sz w:val="20"/>
                <w:szCs w:val="20"/>
              </w:rPr>
            </w:pPr>
          </w:p>
        </w:tc>
        <w:tc>
          <w:tcPr>
            <w:tcW w:w="2138" w:type="dxa"/>
          </w:tcPr>
          <w:p w14:paraId="00000174" w14:textId="77777777" w:rsidR="00CB252E" w:rsidRDefault="00000000">
            <w:pPr>
              <w:spacing w:before="240"/>
              <w:jc w:val="both"/>
              <w:rPr>
                <w:sz w:val="20"/>
                <w:szCs w:val="20"/>
              </w:rPr>
            </w:pPr>
            <w:r>
              <w:rPr>
                <w:sz w:val="20"/>
                <w:szCs w:val="20"/>
              </w:rPr>
              <w:t>Nombre</w:t>
            </w:r>
          </w:p>
        </w:tc>
        <w:tc>
          <w:tcPr>
            <w:tcW w:w="1701" w:type="dxa"/>
          </w:tcPr>
          <w:p w14:paraId="00000175" w14:textId="77777777" w:rsidR="00CB252E" w:rsidRDefault="00000000">
            <w:pPr>
              <w:spacing w:before="240"/>
              <w:jc w:val="both"/>
              <w:rPr>
                <w:sz w:val="20"/>
                <w:szCs w:val="20"/>
              </w:rPr>
            </w:pPr>
            <w:r>
              <w:rPr>
                <w:sz w:val="20"/>
                <w:szCs w:val="20"/>
              </w:rPr>
              <w:t>Cargo</w:t>
            </w:r>
          </w:p>
        </w:tc>
        <w:tc>
          <w:tcPr>
            <w:tcW w:w="1843" w:type="dxa"/>
          </w:tcPr>
          <w:p w14:paraId="00000176" w14:textId="77777777" w:rsidR="00CB252E" w:rsidRDefault="00000000">
            <w:pPr>
              <w:spacing w:before="240"/>
              <w:jc w:val="both"/>
              <w:rPr>
                <w:sz w:val="20"/>
                <w:szCs w:val="20"/>
              </w:rPr>
            </w:pPr>
            <w:r>
              <w:rPr>
                <w:sz w:val="20"/>
                <w:szCs w:val="20"/>
              </w:rPr>
              <w:t>Dependencia</w:t>
            </w:r>
          </w:p>
        </w:tc>
        <w:tc>
          <w:tcPr>
            <w:tcW w:w="1044" w:type="dxa"/>
          </w:tcPr>
          <w:p w14:paraId="00000177" w14:textId="77777777" w:rsidR="00CB252E" w:rsidRDefault="00000000">
            <w:pPr>
              <w:spacing w:before="240"/>
              <w:jc w:val="both"/>
              <w:rPr>
                <w:sz w:val="20"/>
                <w:szCs w:val="20"/>
              </w:rPr>
            </w:pPr>
            <w:r>
              <w:rPr>
                <w:sz w:val="20"/>
                <w:szCs w:val="20"/>
              </w:rPr>
              <w:t>Fecha</w:t>
            </w:r>
          </w:p>
        </w:tc>
        <w:tc>
          <w:tcPr>
            <w:tcW w:w="1977" w:type="dxa"/>
          </w:tcPr>
          <w:p w14:paraId="00000178" w14:textId="77777777" w:rsidR="00CB252E" w:rsidRDefault="00000000">
            <w:pPr>
              <w:spacing w:before="240"/>
              <w:jc w:val="both"/>
              <w:rPr>
                <w:sz w:val="20"/>
                <w:szCs w:val="20"/>
              </w:rPr>
            </w:pPr>
            <w:r>
              <w:rPr>
                <w:sz w:val="20"/>
                <w:szCs w:val="20"/>
              </w:rPr>
              <w:t>Razón del Cambio</w:t>
            </w:r>
          </w:p>
        </w:tc>
      </w:tr>
      <w:tr w:rsidR="00CB252E" w14:paraId="2DE3618B" w14:textId="77777777">
        <w:tc>
          <w:tcPr>
            <w:tcW w:w="1264" w:type="dxa"/>
          </w:tcPr>
          <w:p w14:paraId="00000179" w14:textId="77777777" w:rsidR="00CB252E" w:rsidRDefault="00000000">
            <w:pPr>
              <w:spacing w:before="240"/>
              <w:jc w:val="both"/>
              <w:rPr>
                <w:sz w:val="20"/>
                <w:szCs w:val="20"/>
              </w:rPr>
            </w:pPr>
            <w:r>
              <w:rPr>
                <w:sz w:val="20"/>
                <w:szCs w:val="20"/>
              </w:rPr>
              <w:t>Autor (es)</w:t>
            </w:r>
          </w:p>
        </w:tc>
        <w:tc>
          <w:tcPr>
            <w:tcW w:w="2138" w:type="dxa"/>
          </w:tcPr>
          <w:p w14:paraId="0000017A" w14:textId="77777777" w:rsidR="00CB252E" w:rsidRDefault="00CB252E">
            <w:pPr>
              <w:spacing w:before="240"/>
              <w:jc w:val="both"/>
              <w:rPr>
                <w:sz w:val="20"/>
                <w:szCs w:val="20"/>
              </w:rPr>
            </w:pPr>
          </w:p>
        </w:tc>
        <w:tc>
          <w:tcPr>
            <w:tcW w:w="1701" w:type="dxa"/>
          </w:tcPr>
          <w:p w14:paraId="0000017B" w14:textId="77777777" w:rsidR="00CB252E" w:rsidRDefault="00CB252E">
            <w:pPr>
              <w:spacing w:before="240"/>
              <w:jc w:val="both"/>
              <w:rPr>
                <w:sz w:val="20"/>
                <w:szCs w:val="20"/>
              </w:rPr>
            </w:pPr>
          </w:p>
        </w:tc>
        <w:tc>
          <w:tcPr>
            <w:tcW w:w="1843" w:type="dxa"/>
          </w:tcPr>
          <w:p w14:paraId="0000017C" w14:textId="77777777" w:rsidR="00CB252E" w:rsidRDefault="00CB252E">
            <w:pPr>
              <w:spacing w:before="240"/>
              <w:jc w:val="both"/>
              <w:rPr>
                <w:sz w:val="20"/>
                <w:szCs w:val="20"/>
              </w:rPr>
            </w:pPr>
          </w:p>
        </w:tc>
        <w:tc>
          <w:tcPr>
            <w:tcW w:w="1044" w:type="dxa"/>
          </w:tcPr>
          <w:p w14:paraId="0000017D" w14:textId="77777777" w:rsidR="00CB252E" w:rsidRDefault="00CB252E">
            <w:pPr>
              <w:spacing w:before="240"/>
              <w:jc w:val="both"/>
              <w:rPr>
                <w:sz w:val="20"/>
                <w:szCs w:val="20"/>
              </w:rPr>
            </w:pPr>
          </w:p>
        </w:tc>
        <w:tc>
          <w:tcPr>
            <w:tcW w:w="1977" w:type="dxa"/>
          </w:tcPr>
          <w:p w14:paraId="0000017E" w14:textId="77777777" w:rsidR="00CB252E" w:rsidRDefault="00CB252E">
            <w:pPr>
              <w:spacing w:before="240"/>
              <w:jc w:val="both"/>
              <w:rPr>
                <w:sz w:val="20"/>
                <w:szCs w:val="20"/>
              </w:rPr>
            </w:pPr>
          </w:p>
        </w:tc>
      </w:tr>
    </w:tbl>
    <w:p w14:paraId="0000017F" w14:textId="77777777" w:rsidR="00CB252E" w:rsidRDefault="00CB252E">
      <w:pPr>
        <w:spacing w:before="240"/>
        <w:rPr>
          <w:sz w:val="20"/>
          <w:szCs w:val="20"/>
        </w:rPr>
      </w:pPr>
    </w:p>
    <w:sectPr w:rsidR="00CB252E">
      <w:headerReference w:type="default" r:id="rId21"/>
      <w:footerReference w:type="default" r:id="rId2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ZULEIDY MARIA RUIZ TORRES" w:date="2021-06-03T17:09:00Z" w:initials="">
    <w:p w14:paraId="00000187" w14:textId="77777777" w:rsidR="00CB252E" w:rsidRDefault="00000000">
      <w:pPr>
        <w:widowControl w:val="0"/>
        <w:pBdr>
          <w:top w:val="nil"/>
          <w:left w:val="nil"/>
          <w:bottom w:val="nil"/>
          <w:right w:val="nil"/>
          <w:between w:val="nil"/>
        </w:pBdr>
        <w:spacing w:line="240" w:lineRule="auto"/>
        <w:rPr>
          <w:color w:val="000000"/>
        </w:rPr>
      </w:pPr>
      <w:r>
        <w:rPr>
          <w:color w:val="000000"/>
        </w:rPr>
        <w:t>video motion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18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187" w16cid:durableId="3459B9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9C36B0" w14:textId="77777777" w:rsidR="00190567" w:rsidRDefault="00190567">
      <w:pPr>
        <w:spacing w:line="240" w:lineRule="auto"/>
      </w:pPr>
      <w:r>
        <w:separator/>
      </w:r>
    </w:p>
  </w:endnote>
  <w:endnote w:type="continuationSeparator" w:id="0">
    <w:p w14:paraId="57A62E19" w14:textId="77777777" w:rsidR="00190567" w:rsidRDefault="001905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82" w14:textId="77777777" w:rsidR="00CB252E" w:rsidRDefault="00CB252E">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183" w14:textId="77777777" w:rsidR="00CB252E" w:rsidRDefault="00CB252E">
    <w:pPr>
      <w:spacing w:line="240" w:lineRule="auto"/>
      <w:ind w:left="-2" w:hanging="2"/>
      <w:jc w:val="right"/>
      <w:rPr>
        <w:rFonts w:ascii="Times New Roman" w:eastAsia="Times New Roman" w:hAnsi="Times New Roman" w:cs="Times New Roman"/>
        <w:sz w:val="24"/>
        <w:szCs w:val="24"/>
      </w:rPr>
    </w:pPr>
  </w:p>
  <w:p w14:paraId="00000184" w14:textId="77777777" w:rsidR="00CB252E" w:rsidRDefault="00CB252E">
    <w:pPr>
      <w:spacing w:line="240" w:lineRule="auto"/>
      <w:rPr>
        <w:rFonts w:ascii="Times New Roman" w:eastAsia="Times New Roman" w:hAnsi="Times New Roman" w:cs="Times New Roman"/>
        <w:sz w:val="24"/>
        <w:szCs w:val="24"/>
      </w:rPr>
    </w:pPr>
  </w:p>
  <w:p w14:paraId="00000185" w14:textId="77777777" w:rsidR="00CB252E" w:rsidRDefault="00CB252E">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186" w14:textId="77777777" w:rsidR="00CB252E" w:rsidRDefault="00CB252E">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3F1BDC" w14:textId="77777777" w:rsidR="00190567" w:rsidRDefault="00190567">
      <w:pPr>
        <w:spacing w:line="240" w:lineRule="auto"/>
      </w:pPr>
      <w:r>
        <w:separator/>
      </w:r>
    </w:p>
  </w:footnote>
  <w:footnote w:type="continuationSeparator" w:id="0">
    <w:p w14:paraId="07B417F3" w14:textId="77777777" w:rsidR="00190567" w:rsidRDefault="001905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80" w14:textId="77777777" w:rsidR="00CB252E" w:rsidRDefault="00000000">
    <w:pPr>
      <w:pBdr>
        <w:top w:val="nil"/>
        <w:left w:val="nil"/>
        <w:bottom w:val="nil"/>
        <w:right w:val="nil"/>
        <w:between w:val="nil"/>
      </w:pBdr>
      <w:tabs>
        <w:tab w:val="center" w:pos="4419"/>
        <w:tab w:val="right" w:pos="8838"/>
      </w:tabs>
      <w:spacing w:line="240" w:lineRule="auto"/>
      <w:rPr>
        <w:color w:val="000000"/>
      </w:rPr>
    </w:pPr>
    <w:r>
      <w:rPr>
        <w:noProof/>
        <w:color w:val="000000"/>
      </w:rPr>
      <w:drawing>
        <wp:anchor distT="0" distB="0" distL="114300" distR="114300" simplePos="0" relativeHeight="251658240" behindDoc="0" locked="0" layoutInCell="1" hidden="0" allowOverlap="1" wp14:anchorId="772F168A" wp14:editId="6480B03B">
          <wp:simplePos x="0" y="0"/>
          <wp:positionH relativeFrom="margin">
            <wp:align>center</wp:align>
          </wp:positionH>
          <wp:positionV relativeFrom="page">
            <wp:posOffset>276225</wp:posOffset>
          </wp:positionV>
          <wp:extent cx="629920" cy="588645"/>
          <wp:effectExtent l="0" t="0" r="0" b="0"/>
          <wp:wrapNone/>
          <wp:docPr id="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p w14:paraId="00000181" w14:textId="77777777" w:rsidR="00CB252E" w:rsidRDefault="00CB252E">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33636"/>
    <w:multiLevelType w:val="multilevel"/>
    <w:tmpl w:val="C5062A58"/>
    <w:lvl w:ilvl="0">
      <w:start w:val="1"/>
      <w:numFmt w:val="decimal"/>
      <w:lvlText w:val="%1."/>
      <w:lvlJc w:val="left"/>
      <w:pPr>
        <w:ind w:left="720" w:hanging="360"/>
      </w:pPr>
    </w:lvl>
    <w:lvl w:ilvl="1">
      <w:start w:val="2"/>
      <w:numFmt w:val="decimal"/>
      <w:lvlText w:val="%1.%2."/>
      <w:lvlJc w:val="left"/>
      <w:pPr>
        <w:ind w:left="720" w:hanging="360"/>
      </w:pPr>
      <w:rPr>
        <w:b/>
        <w:i/>
      </w:rPr>
    </w:lvl>
    <w:lvl w:ilvl="2">
      <w:start w:val="1"/>
      <w:numFmt w:val="decimal"/>
      <w:lvlText w:val="%1.%2.%3."/>
      <w:lvlJc w:val="left"/>
      <w:pPr>
        <w:ind w:left="1080" w:hanging="720"/>
      </w:pPr>
      <w:rPr>
        <w:b/>
        <w:i/>
      </w:rPr>
    </w:lvl>
    <w:lvl w:ilvl="3">
      <w:start w:val="1"/>
      <w:numFmt w:val="decimal"/>
      <w:lvlText w:val="%1.%2.%3.%4."/>
      <w:lvlJc w:val="left"/>
      <w:pPr>
        <w:ind w:left="1080" w:hanging="720"/>
      </w:pPr>
      <w:rPr>
        <w:b/>
        <w:i/>
      </w:rPr>
    </w:lvl>
    <w:lvl w:ilvl="4">
      <w:start w:val="1"/>
      <w:numFmt w:val="decimal"/>
      <w:lvlText w:val="%1.%2.%3.%4.%5."/>
      <w:lvlJc w:val="left"/>
      <w:pPr>
        <w:ind w:left="1440" w:hanging="1080"/>
      </w:pPr>
      <w:rPr>
        <w:b/>
        <w:i/>
      </w:rPr>
    </w:lvl>
    <w:lvl w:ilvl="5">
      <w:start w:val="1"/>
      <w:numFmt w:val="decimal"/>
      <w:lvlText w:val="%1.%2.%3.%4.%5.%6."/>
      <w:lvlJc w:val="left"/>
      <w:pPr>
        <w:ind w:left="1440" w:hanging="1080"/>
      </w:pPr>
      <w:rPr>
        <w:b/>
        <w:i/>
      </w:rPr>
    </w:lvl>
    <w:lvl w:ilvl="6">
      <w:start w:val="1"/>
      <w:numFmt w:val="decimal"/>
      <w:lvlText w:val="%1.%2.%3.%4.%5.%6.%7."/>
      <w:lvlJc w:val="left"/>
      <w:pPr>
        <w:ind w:left="1800" w:hanging="1440"/>
      </w:pPr>
      <w:rPr>
        <w:b/>
        <w:i/>
      </w:rPr>
    </w:lvl>
    <w:lvl w:ilvl="7">
      <w:start w:val="1"/>
      <w:numFmt w:val="decimal"/>
      <w:lvlText w:val="%1.%2.%3.%4.%5.%6.%7.%8."/>
      <w:lvlJc w:val="left"/>
      <w:pPr>
        <w:ind w:left="1800" w:hanging="1440"/>
      </w:pPr>
      <w:rPr>
        <w:b/>
        <w:i/>
      </w:rPr>
    </w:lvl>
    <w:lvl w:ilvl="8">
      <w:start w:val="1"/>
      <w:numFmt w:val="decimal"/>
      <w:lvlText w:val="%1.%2.%3.%4.%5.%6.%7.%8.%9."/>
      <w:lvlJc w:val="left"/>
      <w:pPr>
        <w:ind w:left="2160" w:hanging="1800"/>
      </w:pPr>
      <w:rPr>
        <w:b/>
        <w:i/>
      </w:rPr>
    </w:lvl>
  </w:abstractNum>
  <w:abstractNum w:abstractNumId="1" w15:restartNumberingAfterBreak="0">
    <w:nsid w:val="0F3D46C1"/>
    <w:multiLevelType w:val="multilevel"/>
    <w:tmpl w:val="3288F972"/>
    <w:lvl w:ilvl="0">
      <w:start w:val="1"/>
      <w:numFmt w:val="bullet"/>
      <w:lvlText w:val="●"/>
      <w:lvlJc w:val="left"/>
      <w:pPr>
        <w:ind w:left="726" w:hanging="360"/>
      </w:pPr>
      <w:rPr>
        <w:rFonts w:ascii="Noto Sans Symbols" w:eastAsia="Noto Sans Symbols" w:hAnsi="Noto Sans Symbols" w:cs="Noto Sans Symbols"/>
        <w:vertAlign w:val="baseline"/>
      </w:rPr>
    </w:lvl>
    <w:lvl w:ilvl="1">
      <w:start w:val="1"/>
      <w:numFmt w:val="bullet"/>
      <w:lvlText w:val="o"/>
      <w:lvlJc w:val="left"/>
      <w:pPr>
        <w:ind w:left="1446" w:hanging="360"/>
      </w:pPr>
      <w:rPr>
        <w:rFonts w:ascii="Courier New" w:eastAsia="Courier New" w:hAnsi="Courier New" w:cs="Courier New"/>
        <w:vertAlign w:val="baseline"/>
      </w:rPr>
    </w:lvl>
    <w:lvl w:ilvl="2">
      <w:start w:val="1"/>
      <w:numFmt w:val="bullet"/>
      <w:lvlText w:val="▪"/>
      <w:lvlJc w:val="left"/>
      <w:pPr>
        <w:ind w:left="2166" w:hanging="360"/>
      </w:pPr>
      <w:rPr>
        <w:rFonts w:ascii="Noto Sans Symbols" w:eastAsia="Noto Sans Symbols" w:hAnsi="Noto Sans Symbols" w:cs="Noto Sans Symbols"/>
        <w:vertAlign w:val="baseline"/>
      </w:rPr>
    </w:lvl>
    <w:lvl w:ilvl="3">
      <w:start w:val="1"/>
      <w:numFmt w:val="bullet"/>
      <w:lvlText w:val="●"/>
      <w:lvlJc w:val="left"/>
      <w:pPr>
        <w:ind w:left="2886" w:hanging="360"/>
      </w:pPr>
      <w:rPr>
        <w:rFonts w:ascii="Noto Sans Symbols" w:eastAsia="Noto Sans Symbols" w:hAnsi="Noto Sans Symbols" w:cs="Noto Sans Symbols"/>
        <w:vertAlign w:val="baseline"/>
      </w:rPr>
    </w:lvl>
    <w:lvl w:ilvl="4">
      <w:start w:val="1"/>
      <w:numFmt w:val="bullet"/>
      <w:lvlText w:val="o"/>
      <w:lvlJc w:val="left"/>
      <w:pPr>
        <w:ind w:left="3606" w:hanging="360"/>
      </w:pPr>
      <w:rPr>
        <w:rFonts w:ascii="Courier New" w:eastAsia="Courier New" w:hAnsi="Courier New" w:cs="Courier New"/>
        <w:vertAlign w:val="baseline"/>
      </w:rPr>
    </w:lvl>
    <w:lvl w:ilvl="5">
      <w:start w:val="1"/>
      <w:numFmt w:val="bullet"/>
      <w:lvlText w:val="▪"/>
      <w:lvlJc w:val="left"/>
      <w:pPr>
        <w:ind w:left="4326" w:hanging="360"/>
      </w:pPr>
      <w:rPr>
        <w:rFonts w:ascii="Noto Sans Symbols" w:eastAsia="Noto Sans Symbols" w:hAnsi="Noto Sans Symbols" w:cs="Noto Sans Symbols"/>
        <w:vertAlign w:val="baseline"/>
      </w:rPr>
    </w:lvl>
    <w:lvl w:ilvl="6">
      <w:start w:val="1"/>
      <w:numFmt w:val="bullet"/>
      <w:lvlText w:val="●"/>
      <w:lvlJc w:val="left"/>
      <w:pPr>
        <w:ind w:left="5046" w:hanging="360"/>
      </w:pPr>
      <w:rPr>
        <w:rFonts w:ascii="Noto Sans Symbols" w:eastAsia="Noto Sans Symbols" w:hAnsi="Noto Sans Symbols" w:cs="Noto Sans Symbols"/>
        <w:vertAlign w:val="baseline"/>
      </w:rPr>
    </w:lvl>
    <w:lvl w:ilvl="7">
      <w:start w:val="1"/>
      <w:numFmt w:val="bullet"/>
      <w:lvlText w:val="o"/>
      <w:lvlJc w:val="left"/>
      <w:pPr>
        <w:ind w:left="5766" w:hanging="360"/>
      </w:pPr>
      <w:rPr>
        <w:rFonts w:ascii="Courier New" w:eastAsia="Courier New" w:hAnsi="Courier New" w:cs="Courier New"/>
        <w:vertAlign w:val="baseline"/>
      </w:rPr>
    </w:lvl>
    <w:lvl w:ilvl="8">
      <w:start w:val="1"/>
      <w:numFmt w:val="bullet"/>
      <w:lvlText w:val="▪"/>
      <w:lvlJc w:val="left"/>
      <w:pPr>
        <w:ind w:left="6486" w:hanging="360"/>
      </w:pPr>
      <w:rPr>
        <w:rFonts w:ascii="Noto Sans Symbols" w:eastAsia="Noto Sans Symbols" w:hAnsi="Noto Sans Symbols" w:cs="Noto Sans Symbols"/>
        <w:vertAlign w:val="baseline"/>
      </w:rPr>
    </w:lvl>
  </w:abstractNum>
  <w:abstractNum w:abstractNumId="2" w15:restartNumberingAfterBreak="0">
    <w:nsid w:val="69B33D00"/>
    <w:multiLevelType w:val="multilevel"/>
    <w:tmpl w:val="F956F2B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77461632">
    <w:abstractNumId w:val="2"/>
  </w:num>
  <w:num w:numId="2" w16cid:durableId="588850545">
    <w:abstractNumId w:val="1"/>
  </w:num>
  <w:num w:numId="3" w16cid:durableId="1525092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52E"/>
    <w:rsid w:val="00190567"/>
    <w:rsid w:val="00B96D10"/>
    <w:rsid w:val="00CB252E"/>
    <w:rsid w:val="00E63E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398F7"/>
  <w15:docId w15:val="{DCC2735A-1C50-418A-8080-22BEA76BB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0"/>
    <w:tblPr>
      <w:tblStyleRowBandSize w:val="1"/>
      <w:tblStyleColBandSize w:val="1"/>
      <w:tblCellMar>
        <w:left w:w="70" w:type="dxa"/>
        <w:right w:w="70"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4E3CC2"/>
    <w:rPr>
      <w:color w:val="605E5C"/>
      <w:shd w:val="clear" w:color="auto" w:fill="E1DFDD"/>
    </w:rPr>
  </w:style>
  <w:style w:type="table" w:customStyle="1" w:styleId="ab">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c">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d">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e">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a">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b">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c">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d">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ctcp.gov.co/proyectos/contabilidad-e-informacion-financiera/documentos-organismos-internacionales/compilacion-marcos-tecnicos-de-informacion-financi/1534369767-2310"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uin.gov.co/viewDocument.asp?id=1776952" TargetMode="External"/><Relationship Id="rId2" Type="http://schemas.openxmlformats.org/officeDocument/2006/relationships/customXml" Target="../customXml/item2.xml"/><Relationship Id="rId16" Type="http://schemas.openxmlformats.org/officeDocument/2006/relationships/hyperlink" Target="http://www.secretariasenado.gov.co/senado/basedoc/ley_1349_2009.html" TargetMode="External"/><Relationship Id="rId20" Type="http://schemas.openxmlformats.org/officeDocument/2006/relationships/hyperlink" Target="https://www.pwc.com/cl/es/ifrs/assets/grifrs_2008.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ebookcentraroquestcom.bdigital.sena.edu.co/lib/senavirtualsp/detail.action?docID=3161303"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pwc.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D1Ml/RCoaeavCdHZ/pGtNpcVCg==">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</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9282E1EDBE9234EA9E6D38F720E265F" ma:contentTypeVersion="15" ma:contentTypeDescription="Create a new document." ma:contentTypeScope="" ma:versionID="d74b11659fba189f3e84ecbf6606621e">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9a83cb40efc763857d49d6ce4ef9b78f"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3F15EC-4ADE-4A0B-BA28-70F31DD941B7}">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01960D00-16CD-4AE0-AF63-502752AFD71F}">
  <ds:schemaRefs>
    <ds:schemaRef ds:uri="http://schemas.microsoft.com/sharepoint/v3/contenttype/forms"/>
  </ds:schemaRefs>
</ds:datastoreItem>
</file>

<file path=customXml/itemProps4.xml><?xml version="1.0" encoding="utf-8"?>
<ds:datastoreItem xmlns:ds="http://schemas.openxmlformats.org/officeDocument/2006/customXml" ds:itemID="{83B890F2-2D7A-43A9-BE6E-AEFCD69C16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3438</Words>
  <Characters>18913</Characters>
  <Application>Microsoft Office Word</Application>
  <DocSecurity>0</DocSecurity>
  <Lines>157</Lines>
  <Paragraphs>44</Paragraphs>
  <ScaleCrop>false</ScaleCrop>
  <Company/>
  <LinksUpToDate>false</LinksUpToDate>
  <CharactersWithSpaces>22307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Jhon Jairo Urueta Alvarez</cp:lastModifiedBy>
  <cp:revision>2</cp:revision>
  <dcterms:created xsi:type="dcterms:W3CDTF">2021-02-11T22:20:00Z</dcterms:created>
  <dcterms:modified xsi:type="dcterms:W3CDTF">2025-06-12T15:20:00Z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