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649BAC78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CF5541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CF5541">
              <w:rPr>
                <w:color w:val="auto"/>
              </w:rPr>
              <w:t xml:space="preserve"> </w:t>
            </w:r>
            <w:r w:rsidR="00EA6D23" w:rsidRPr="00CF5541">
              <w:rPr>
                <w:color w:val="auto"/>
              </w:rPr>
              <w:t>Activos intangibles</w:t>
            </w:r>
          </w:p>
          <w:p w14:paraId="027A1C4A" w14:textId="77777777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CF5541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CF5541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CF55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A25404D" w:rsidR="00F74F1E" w:rsidRPr="00CF5541" w:rsidRDefault="00EA6D23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5541">
              <w:rPr>
                <w:rFonts w:eastAsia="Calibri"/>
                <w:bCs/>
                <w:iCs/>
                <w:color w:val="auto"/>
              </w:rPr>
              <w:t>Tratamiento Contable de los Activos Intangibles y Diferidos según la NIC 38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2053ECB" w:rsidR="00F74F1E" w:rsidRPr="00CF5541" w:rsidRDefault="00EA6D23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5541">
              <w:rPr>
                <w:rFonts w:eastAsia="Calibri"/>
                <w:bCs/>
                <w:iCs/>
                <w:color w:val="auto"/>
              </w:rPr>
              <w:t>Identificar los conceptos clave sobre el reconocimiento, medición, amortización, y revelación de los activos intangibles y diferidos conforme a la NIC 38.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CF5541" w:rsidRDefault="00F74F1E">
            <w:pPr>
              <w:jc w:val="center"/>
              <w:rPr>
                <w:rFonts w:eastAsia="Calibri"/>
                <w:color w:val="auto"/>
              </w:rPr>
            </w:pPr>
            <w:r w:rsidRPr="00CF5541">
              <w:rPr>
                <w:rFonts w:eastAsia="Calibri"/>
                <w:color w:val="auto"/>
              </w:rPr>
              <w:t>PREGUNTAS</w:t>
            </w:r>
          </w:p>
        </w:tc>
      </w:tr>
      <w:tr w:rsidR="00BB792A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B792A" w:rsidRPr="00F8304E" w:rsidRDefault="00BB792A" w:rsidP="00BB79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1CA7909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¿Cuál de las siguientes características define un activo intangible según la NIC 38?</w:t>
            </w:r>
          </w:p>
        </w:tc>
        <w:tc>
          <w:tcPr>
            <w:tcW w:w="2160" w:type="dxa"/>
            <w:gridSpan w:val="8"/>
          </w:tcPr>
          <w:p w14:paraId="56B1DBDC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CF5541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CF5541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BB792A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F92112F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Es un activo monetario con forma física.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1A9F36B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Es un pasivo con valor de mercado.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FEC2451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Es identificable, no monetario y sin apariencia física.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A08E2A4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F55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BB792A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13A061B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Es tangible y de fácil comercialización.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B792A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B792A" w:rsidRPr="00F8304E" w:rsidRDefault="00BB792A" w:rsidP="00BB79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3AE06D1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F5541">
              <w:rPr>
                <w:color w:val="auto"/>
              </w:rPr>
              <w:t>¿Cuál de los siguientes es un ejemplo de un activo intangible identificable?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BB792A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648404A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CF5541">
              <w:rPr>
                <w:i/>
                <w:iCs/>
                <w:color w:val="auto"/>
              </w:rPr>
              <w:t>Software.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4A656A41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F55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BB792A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CD731D8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Posicionamiento de marca.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6A018F0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Buena reputación empresarial.</w:t>
            </w:r>
          </w:p>
        </w:tc>
        <w:tc>
          <w:tcPr>
            <w:tcW w:w="2160" w:type="dxa"/>
            <w:gridSpan w:val="8"/>
          </w:tcPr>
          <w:p w14:paraId="4DFC28D1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6E9977E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Relaciones comerciales implícitas.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B792A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BB792A" w:rsidRPr="00F8304E" w:rsidRDefault="00BB792A" w:rsidP="00BB79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BA9ECAC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F5541">
              <w:rPr>
                <w:color w:val="auto"/>
              </w:rPr>
              <w:t>¿Qué indica la NIC 38 respecto a la vida útil de un activo intangible?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60E93895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Todos los activos deben tener una vida útil indefinida.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E2C8B83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Solo los tangibles deben amortizarse.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DF10332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Debe estimarse en 5 años.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52CC873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Puede ser finita o indefinida, dependiendo del activo.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6212B778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F55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B792A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B792A" w:rsidRPr="00F8304E" w:rsidRDefault="00BB792A" w:rsidP="00BB79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95E17E7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F5541">
              <w:rPr>
                <w:color w:val="auto"/>
              </w:rPr>
              <w:t>¿Qué método de medición inicial se aplica a un activo intangible adquirido separadamente?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9C7EFE8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Valor residual.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64B5BD7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Costo de adquisición.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DEAAF9E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F55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BB792A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40F28AA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Valor proyectado a 5 años.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497C843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Valor de mercado futuro.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B792A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BB792A" w:rsidRPr="00F8304E" w:rsidRDefault="00BB792A" w:rsidP="00BB79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D1982AD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F5541">
              <w:rPr>
                <w:color w:val="auto"/>
              </w:rPr>
              <w:t>¿Cuándo inicia la amortización de un activo intangible?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6B6FFC9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Al momento de la firma del contrato.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57FB32A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Cuando se realiza el pago.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B792A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F09105F" w:rsidR="00BB792A" w:rsidRPr="00CF5541" w:rsidRDefault="00BB792A" w:rsidP="00BB7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Cuando el activo está disponible y en condiciones de uso.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3B7895F5" w:rsidR="00BB792A" w:rsidRPr="00CF5541" w:rsidRDefault="00BB792A" w:rsidP="00BB792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F55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BB792A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B792A" w:rsidRPr="00F8304E" w:rsidRDefault="00BB792A" w:rsidP="00BB792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9C5FC9A" w:rsidR="00BB792A" w:rsidRPr="00CF5541" w:rsidRDefault="00BB792A" w:rsidP="00BB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En el cierre fiscal del año en curso.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BB792A" w:rsidRPr="00CF5541" w:rsidRDefault="00BB792A" w:rsidP="00BB792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CF5541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F28F1" w:rsidRPr="00F8304E" w:rsidRDefault="006F28F1" w:rsidP="006F28F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8287C02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F5541">
              <w:rPr>
                <w:color w:val="auto"/>
              </w:rPr>
              <w:t>¿Qué sucede si un activo intangible tiene una vida útil indefinida?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28F1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42A59AD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Se amortiza cada año.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F28F1" w:rsidRPr="00CF5541" w:rsidRDefault="006F28F1" w:rsidP="006F28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28F1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7BF32D8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Se elimina del balance.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F28F1" w:rsidRPr="00CF5541" w:rsidRDefault="006F28F1" w:rsidP="006F28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28F1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D0E38A6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No se amortiza pero se evalúa su deterioro cada periodo.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27B714B2" w:rsidR="006F28F1" w:rsidRPr="00CF5541" w:rsidRDefault="006F28F1" w:rsidP="006F28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F55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28F1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5A00A4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Se registra como gasto mensual.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F28F1" w:rsidRPr="00CF5541" w:rsidRDefault="006F28F1" w:rsidP="006F28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28F1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F28F1" w:rsidRPr="00F8304E" w:rsidRDefault="006F28F1" w:rsidP="006F28F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2403E80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¿Cuál es el criterio para elegir entre el modelo del costo o revaluación como política contable?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15AA7E02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La opción más barata.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8B0CD78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La decisión debe aplicarse a toda la clase de activos.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69401E48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F28F1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1C75E05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Lo que indique el auditor.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86EAF19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El nivel de ingresos de la empresa.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28F1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F28F1" w:rsidRPr="00F8304E" w:rsidRDefault="006F28F1" w:rsidP="006F28F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36541E1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¿Qué representa el valor razonable de un activo?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E9D1866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Un valor ficticio acordado internamente.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BBDDBB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El precio de venta entre participantes del mercado en el momento de la medición.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5EEEBC2C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F28F1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DA2F371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El valor fiscal registrado en libros.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F62088C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La suma de su valor residual más intereses.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28F1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F28F1" w:rsidRPr="00F8304E" w:rsidRDefault="006F28F1" w:rsidP="006F28F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0D47D94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 xml:space="preserve"> ¿Qué son los gastos pagados por anticipado?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6BA72552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F28F1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2E28249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Pagos que cubren un periodo futuro sin haberse recibido aún el bien o servicio.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56AD1D75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Gastos acumulados por depreciación.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A5003C5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Pagos hechos en exceso y no reconocidos.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28F1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AAD767A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Saldos negativos de cuentas por pagar.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CF55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CF55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28F1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F28F1" w:rsidRPr="00F8304E" w:rsidRDefault="006F28F1" w:rsidP="006F28F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18F49AE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¿Cuándo se da de baja un activo intangible?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28F1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10A5460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Cuando se enajena o no se esperan beneficios futuros.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D118031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F5541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F28F1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453E19B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Cuando su costo se recupera.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28F1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102E562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Cuando cumple cinco años.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F28F1" w:rsidRPr="00CF5541" w:rsidRDefault="006F28F1" w:rsidP="006F2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28F1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F28F1" w:rsidRPr="00F8304E" w:rsidRDefault="006F28F1" w:rsidP="006F28F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7268D8E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F5541">
              <w:rPr>
                <w:color w:val="auto"/>
              </w:rPr>
              <w:t>Al final de cada año contable.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F28F1" w:rsidRPr="00CF5541" w:rsidRDefault="006F28F1" w:rsidP="006F2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8D3212E" w:rsidR="00090CAE" w:rsidRPr="00F8304E" w:rsidRDefault="00CF554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F5541">
              <w:rPr>
                <w:rFonts w:eastAsia="Calibri"/>
                <w:b/>
                <w:iCs/>
                <w:color w:val="000000" w:themeColor="text1"/>
              </w:rPr>
              <w:t>Los activos intangibles deben tener apariencia física para ser reconocidos.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E2C9F4A" w:rsidR="00090CAE" w:rsidRPr="00F8304E" w:rsidRDefault="00CF554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C002338" w:rsidR="00A50799" w:rsidRPr="00F8304E" w:rsidRDefault="00CF5541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F5541">
              <w:rPr>
                <w:rFonts w:eastAsia="Calibri"/>
                <w:b/>
                <w:iCs/>
                <w:color w:val="000000" w:themeColor="text1"/>
              </w:rPr>
              <w:t>El método de amortización debe reflejar el patrón esperado de agotamiento del activo.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6A9341E" w:rsidR="004140D8" w:rsidRPr="00F8304E" w:rsidRDefault="00CF554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EB060B2" w:rsidR="004140D8" w:rsidRPr="00F8304E" w:rsidRDefault="00CF55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F5541">
              <w:rPr>
                <w:rFonts w:eastAsia="Calibri"/>
                <w:b/>
                <w:iCs/>
                <w:color w:val="000000" w:themeColor="text1"/>
              </w:rPr>
              <w:t>Un cargo diferido puede considerarse activo si genera beneficios económicos futuros.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177C5CB2" w:rsidR="004140D8" w:rsidRPr="00F8304E" w:rsidRDefault="00CF55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4BF2780" w:rsidR="004140D8" w:rsidRPr="00F8304E" w:rsidRDefault="00CF554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F5541">
              <w:rPr>
                <w:rFonts w:eastAsia="Calibri"/>
                <w:b/>
                <w:iCs/>
                <w:color w:val="000000" w:themeColor="text1"/>
              </w:rPr>
              <w:t>Todos los gastos anticipados deben reconocerse siempre como gasto inmediato.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3A0BC775" w:rsidR="004140D8" w:rsidRPr="00F8304E" w:rsidRDefault="00CF55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155C964" w:rsidR="004140D8" w:rsidRPr="00F8304E" w:rsidRDefault="00CF55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F5541">
              <w:rPr>
                <w:rFonts w:eastAsia="Calibri"/>
                <w:b/>
                <w:iCs/>
                <w:color w:val="000000" w:themeColor="text1"/>
              </w:rPr>
              <w:t>El deterioro de un activo intangible disminuye su valor en libros.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4EFB0243" w:rsidR="004140D8" w:rsidRPr="00F8304E" w:rsidRDefault="00CF55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FEA1C" w14:textId="77777777" w:rsidR="009C5CBD" w:rsidRDefault="009C5CBD">
      <w:pPr>
        <w:spacing w:line="240" w:lineRule="auto"/>
      </w:pPr>
      <w:r>
        <w:separator/>
      </w:r>
    </w:p>
  </w:endnote>
  <w:endnote w:type="continuationSeparator" w:id="0">
    <w:p w14:paraId="07BA40CA" w14:textId="77777777" w:rsidR="009C5CBD" w:rsidRDefault="009C5C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63F508D-1D41-4F13-8D1B-83B7B2C0B7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D985F8-EA12-428F-BE91-634F606BFC27}"/>
    <w:embedBold r:id="rId3" w:fontKey="{6FA2B44F-C01C-4338-88C6-B469F3FF1705}"/>
    <w:embedItalic r:id="rId4" w:fontKey="{D0C20879-85E4-4422-BA4A-DE22E19B282A}"/>
    <w:embedBoldItalic r:id="rId5" w:fontKey="{4F6020E0-4285-4C5C-820A-FDD2616C1A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6D7487B-4F96-40CF-9A30-0E7F1B416F0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D841A8" w14:textId="77777777" w:rsidR="009C5CBD" w:rsidRDefault="009C5CBD">
      <w:pPr>
        <w:spacing w:line="240" w:lineRule="auto"/>
      </w:pPr>
      <w:r>
        <w:separator/>
      </w:r>
    </w:p>
  </w:footnote>
  <w:footnote w:type="continuationSeparator" w:id="0">
    <w:p w14:paraId="0A6904B4" w14:textId="77777777" w:rsidR="009C5CBD" w:rsidRDefault="009C5C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0E6310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6F28F1"/>
    <w:rsid w:val="00747A17"/>
    <w:rsid w:val="007C0131"/>
    <w:rsid w:val="007E1C99"/>
    <w:rsid w:val="007F32A7"/>
    <w:rsid w:val="00803BF1"/>
    <w:rsid w:val="009C5CBD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BB792A"/>
    <w:rsid w:val="00C22281"/>
    <w:rsid w:val="00CC1C9A"/>
    <w:rsid w:val="00CF5541"/>
    <w:rsid w:val="00D00ED8"/>
    <w:rsid w:val="00D16BB1"/>
    <w:rsid w:val="00D43CD1"/>
    <w:rsid w:val="00D6347F"/>
    <w:rsid w:val="00D703B8"/>
    <w:rsid w:val="00E160B7"/>
    <w:rsid w:val="00E61FEA"/>
    <w:rsid w:val="00E814A8"/>
    <w:rsid w:val="00EA6D23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0E9DE83-7ED4-46C4-B845-A2AF2E8E9703}"/>
</file>

<file path=customXml/itemProps2.xml><?xml version="1.0" encoding="utf-8"?>
<ds:datastoreItem xmlns:ds="http://schemas.openxmlformats.org/officeDocument/2006/customXml" ds:itemID="{2E93DF4A-5464-4549-9374-92C92699BEDE}"/>
</file>

<file path=customXml/itemProps3.xml><?xml version="1.0" encoding="utf-8"?>
<ds:datastoreItem xmlns:ds="http://schemas.openxmlformats.org/officeDocument/2006/customXml" ds:itemID="{D428B6AC-4EAB-4AD7-B0CC-8BC216D4197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1169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2025-03-31T19:03:00Z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