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befor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122" w:hRule="atLeast"/>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color w:val="000000"/>
                <w:sz w:val="20"/>
                <w:szCs w:val="20"/>
                <w:rtl w:val="0"/>
              </w:rPr>
              <w:t xml:space="preserve">PROGRAMA DE FORMACIÓN</w:t>
            </w:r>
            <w:r w:rsidDel="00000000" w:rsidR="00000000" w:rsidRPr="00000000">
              <w:rPr>
                <w:rtl w:val="0"/>
              </w:rPr>
            </w:r>
          </w:p>
        </w:tc>
        <w:tc>
          <w:tcPr>
            <w:vAlign w:val="center"/>
          </w:tcPr>
          <w:p w:rsidR="00000000" w:rsidDel="00000000" w:rsidP="00000000" w:rsidRDefault="00000000" w:rsidRPr="00000000" w14:paraId="00000004">
            <w:pPr>
              <w:spacing w:line="276" w:lineRule="auto"/>
              <w:rPr/>
            </w:pPr>
            <w:r w:rsidDel="00000000" w:rsidR="00000000" w:rsidRPr="00000000">
              <w:rPr>
                <w:color w:val="000000"/>
                <w:sz w:val="20"/>
                <w:szCs w:val="20"/>
                <w:rtl w:val="0"/>
              </w:rPr>
              <w:t xml:space="preserve">Tecnología Gestión Contable y de Información Financiera</w:t>
            </w:r>
            <w:r w:rsidDel="00000000" w:rsidR="00000000" w:rsidRPr="00000000">
              <w:rPr>
                <w:rtl w:val="0"/>
              </w:rPr>
            </w:r>
          </w:p>
        </w:tc>
      </w:tr>
    </w:tbl>
    <w:p w:rsidR="00000000" w:rsidDel="00000000" w:rsidP="00000000" w:rsidRDefault="00000000" w:rsidRPr="00000000" w14:paraId="00000005">
      <w:pPr>
        <w:spacing w:befor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06">
            <w:pPr>
              <w:spacing w:line="276" w:lineRule="auto"/>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b w:val="0"/>
                <w:color w:val="000000"/>
                <w:sz w:val="20"/>
                <w:szCs w:val="20"/>
              </w:rPr>
            </w:pPr>
            <w:r w:rsidDel="00000000" w:rsidR="00000000" w:rsidRPr="00000000">
              <w:rPr>
                <w:b w:val="0"/>
                <w:color w:val="000000"/>
                <w:sz w:val="20"/>
                <w:szCs w:val="20"/>
                <w:rtl w:val="0"/>
              </w:rPr>
              <w:t xml:space="preserve">210303022- Reconocer recursos financieros de acuerdo con metodología y normativa.</w:t>
            </w:r>
          </w:p>
        </w:tc>
        <w:tc>
          <w:tcPr>
            <w:vAlign w:val="center"/>
          </w:tcPr>
          <w:p w:rsidR="00000000" w:rsidDel="00000000" w:rsidP="00000000" w:rsidRDefault="00000000" w:rsidRPr="00000000" w14:paraId="00000008">
            <w:pPr>
              <w:spacing w:line="276" w:lineRule="auto"/>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210303022-05. Reconocer hechos económicos, de acuerdo con políticas contables y normativa.</w:t>
            </w:r>
          </w:p>
        </w:tc>
      </w:tr>
    </w:tbl>
    <w:p w:rsidR="00000000" w:rsidDel="00000000" w:rsidP="00000000" w:rsidRDefault="00000000" w:rsidRPr="00000000" w14:paraId="0000000A">
      <w:pPr>
        <w:tabs>
          <w:tab w:val="left" w:pos="6240"/>
        </w:tabs>
        <w:spacing w:befor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479" w:hRule="atLeast"/>
        </w:trPr>
        <w:tc>
          <w:tcPr>
            <w:vAlign w:val="center"/>
          </w:tcPr>
          <w:p w:rsidR="00000000" w:rsidDel="00000000" w:rsidP="00000000" w:rsidRDefault="00000000" w:rsidRPr="00000000" w14:paraId="0000000B">
            <w:pPr>
              <w:spacing w:line="276" w:lineRule="auto"/>
              <w:ind w:left="66" w:firstLine="0"/>
              <w:jc w:val="both"/>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ind w:left="66" w:firstLine="0"/>
              <w:jc w:val="both"/>
              <w:rPr>
                <w:color w:val="000000"/>
                <w:sz w:val="20"/>
                <w:szCs w:val="20"/>
              </w:rPr>
            </w:pPr>
            <w:r w:rsidDel="00000000" w:rsidR="00000000" w:rsidRPr="00000000">
              <w:rPr>
                <w:color w:val="000000"/>
                <w:sz w:val="20"/>
                <w:szCs w:val="20"/>
                <w:rtl w:val="0"/>
              </w:rPr>
              <w:t xml:space="preserve">09</w:t>
            </w:r>
          </w:p>
        </w:tc>
      </w:tr>
      <w:tr>
        <w:trPr>
          <w:trHeight w:val="340" w:hRule="atLeast"/>
        </w:trPr>
        <w:tc>
          <w:tcPr>
            <w:vAlign w:val="center"/>
          </w:tcPr>
          <w:p w:rsidR="00000000" w:rsidDel="00000000" w:rsidP="00000000" w:rsidRDefault="00000000" w:rsidRPr="00000000" w14:paraId="0000000D">
            <w:pPr>
              <w:spacing w:line="276" w:lineRule="auto"/>
              <w:ind w:left="66" w:firstLine="0"/>
              <w:jc w:val="both"/>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ind w:left="66" w:hanging="2.0000000000000018"/>
              <w:jc w:val="both"/>
              <w:rPr>
                <w:b w:val="0"/>
                <w:color w:val="000000"/>
                <w:sz w:val="20"/>
                <w:szCs w:val="20"/>
              </w:rPr>
            </w:pPr>
            <w:r w:rsidDel="00000000" w:rsidR="00000000" w:rsidRPr="00000000">
              <w:rPr>
                <w:b w:val="0"/>
                <w:color w:val="000000"/>
                <w:sz w:val="20"/>
                <w:szCs w:val="20"/>
                <w:rtl w:val="0"/>
              </w:rPr>
              <w:t xml:space="preserve">Activos Intangibles</w:t>
            </w:r>
          </w:p>
        </w:tc>
      </w:tr>
      <w:tr>
        <w:trPr>
          <w:trHeight w:val="2857" w:hRule="atLeast"/>
        </w:trPr>
        <w:tc>
          <w:tcPr>
            <w:vAlign w:val="center"/>
          </w:tcPr>
          <w:p w:rsidR="00000000" w:rsidDel="00000000" w:rsidP="00000000" w:rsidRDefault="00000000" w:rsidRPr="00000000" w14:paraId="0000000F">
            <w:pPr>
              <w:spacing w:line="276" w:lineRule="auto"/>
              <w:ind w:left="66" w:firstLine="0"/>
              <w:jc w:val="both"/>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0">
            <w:pPr>
              <w:spacing w:line="276" w:lineRule="auto"/>
              <w:ind w:left="66" w:hanging="2.0000000000000018"/>
              <w:jc w:val="both"/>
              <w:rPr>
                <w:b w:val="0"/>
                <w:color w:val="000000"/>
                <w:sz w:val="20"/>
                <w:szCs w:val="20"/>
              </w:rPr>
            </w:pPr>
            <w:sdt>
              <w:sdtPr>
                <w:tag w:val="goog_rdk_0"/>
              </w:sdtPr>
              <w:sdtContent>
                <w:commentRangeStart w:id="0"/>
              </w:sdtContent>
            </w:sdt>
            <w:r w:rsidDel="00000000" w:rsidR="00000000" w:rsidRPr="00000000">
              <w:rPr>
                <w:b w:val="0"/>
                <w:color w:val="000000"/>
                <w:sz w:val="20"/>
                <w:szCs w:val="20"/>
                <w:rtl w:val="0"/>
              </w:rPr>
              <w:t xml:space="preserve">Hallar valor en un panorama empresarial tan cambiante donde tradicionalmente los recursos de la empresa eran cosas que se podían palpar como un edificio, una máquina, un vehículo, un terreno sobre lo que las empresas centran su atención; pero con el paso del tiempo, los procesos, las relaciones y los modelos comerciales han evolucionado; y es así como, las empresas invierten cada vez más en activos intangibles no solamente en una computadora, un software, sino también en la investigación, innovación, la marca, el diseño organizacional, el conocimiento, las relaciones, entre otros. Por lo anterior, en el presente componente se analiza el tratamiento contable de los activos intangibles y diferidos, de acuerdo con los criterios establecidos en las Normas Internacionales de Información Financiera.</w:t>
            </w:r>
            <w:commentRangeEnd w:id="0"/>
            <w:r w:rsidDel="00000000" w:rsidR="00000000" w:rsidRPr="00000000">
              <w:commentReference w:id="0"/>
            </w:r>
            <w:r w:rsidDel="00000000" w:rsidR="00000000" w:rsidRPr="00000000">
              <w:rPr>
                <w:rtl w:val="0"/>
              </w:rPr>
            </w:r>
          </w:p>
        </w:tc>
      </w:tr>
      <w:tr>
        <w:trPr>
          <w:trHeight w:val="340" w:hRule="atLeast"/>
        </w:trPr>
        <w:tc>
          <w:tcPr>
            <w:vAlign w:val="center"/>
          </w:tcPr>
          <w:p w:rsidR="00000000" w:rsidDel="00000000" w:rsidP="00000000" w:rsidRDefault="00000000" w:rsidRPr="00000000" w14:paraId="00000011">
            <w:pPr>
              <w:spacing w:line="276" w:lineRule="auto"/>
              <w:ind w:left="66" w:firstLine="0"/>
              <w:jc w:val="both"/>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2">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Activos intangibles, reconocimiento, medición, valoración, revelación, NIIF, NIC 38, amortización.</w:t>
            </w:r>
          </w:p>
        </w:tc>
      </w:tr>
    </w:tbl>
    <w:p w:rsidR="00000000" w:rsidDel="00000000" w:rsidP="00000000" w:rsidRDefault="00000000" w:rsidRPr="00000000" w14:paraId="00000013">
      <w:pPr>
        <w:spacing w:befor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218" w:hRule="atLeast"/>
        </w:trPr>
        <w:tc>
          <w:tcPr>
            <w:vAlign w:val="center"/>
          </w:tcPr>
          <w:p w:rsidR="00000000" w:rsidDel="00000000" w:rsidP="00000000" w:rsidRDefault="00000000" w:rsidRPr="00000000" w14:paraId="00000014">
            <w:pPr>
              <w:spacing w:line="276" w:lineRule="auto"/>
              <w:ind w:left="66" w:firstLine="0"/>
              <w:jc w:val="both"/>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5">
            <w:pPr>
              <w:ind w:left="66" w:firstLine="0"/>
              <w:jc w:val="both"/>
              <w:rPr>
                <w:b w:val="0"/>
                <w:color w:val="000000"/>
                <w:sz w:val="20"/>
                <w:szCs w:val="20"/>
              </w:rPr>
            </w:pPr>
            <w:r w:rsidDel="00000000" w:rsidR="00000000" w:rsidRPr="00000000">
              <w:rPr>
                <w:b w:val="0"/>
                <w:color w:val="000000"/>
                <w:sz w:val="20"/>
                <w:szCs w:val="20"/>
                <w:rtl w:val="0"/>
              </w:rPr>
              <w:t xml:space="preserve">Finanzas y Administración</w:t>
            </w:r>
          </w:p>
          <w:p w:rsidR="00000000" w:rsidDel="00000000" w:rsidP="00000000" w:rsidRDefault="00000000" w:rsidRPr="00000000" w14:paraId="00000016">
            <w:pPr>
              <w:spacing w:line="276" w:lineRule="auto"/>
              <w:ind w:left="66" w:firstLine="0"/>
              <w:jc w:val="both"/>
              <w:rPr>
                <w:b w:val="0"/>
                <w:color w:val="000000"/>
                <w:sz w:val="20"/>
                <w:szCs w:val="20"/>
              </w:rPr>
            </w:pPr>
            <w:r w:rsidDel="00000000" w:rsidR="00000000" w:rsidRPr="00000000">
              <w:rPr>
                <w:rtl w:val="0"/>
              </w:rPr>
            </w:r>
          </w:p>
        </w:tc>
      </w:tr>
      <w:tr>
        <w:trPr>
          <w:trHeight w:val="465" w:hRule="atLeast"/>
        </w:trPr>
        <w:tc>
          <w:tcPr>
            <w:vAlign w:val="center"/>
          </w:tcPr>
          <w:p w:rsidR="00000000" w:rsidDel="00000000" w:rsidP="00000000" w:rsidRDefault="00000000" w:rsidRPr="00000000" w14:paraId="00000017">
            <w:pPr>
              <w:spacing w:line="276" w:lineRule="auto"/>
              <w:ind w:left="66" w:firstLine="0"/>
              <w:jc w:val="both"/>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8">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9">
      <w:pPr>
        <w:spacing w:before="240" w:lineRule="auto"/>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spacing w:before="24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Intangibles y Diferidos</w:t>
      </w:r>
    </w:p>
    <w:p w:rsidR="00000000" w:rsidDel="00000000" w:rsidP="00000000" w:rsidRDefault="00000000" w:rsidRPr="00000000" w14:paraId="0000001D">
      <w:pPr>
        <w:ind w:left="360" w:firstLine="718"/>
        <w:rPr>
          <w:sz w:val="20"/>
          <w:szCs w:val="20"/>
          <w:highlight w:val="white"/>
        </w:rPr>
      </w:pPr>
      <w:r w:rsidDel="00000000" w:rsidR="00000000" w:rsidRPr="00000000">
        <w:rPr>
          <w:sz w:val="20"/>
          <w:szCs w:val="20"/>
          <w:rtl w:val="0"/>
        </w:rPr>
        <w:t xml:space="preserve">1</w:t>
      </w:r>
      <w:r w:rsidDel="00000000" w:rsidR="00000000" w:rsidRPr="00000000">
        <w:rPr>
          <w:sz w:val="20"/>
          <w:szCs w:val="20"/>
          <w:highlight w:val="white"/>
          <w:rtl w:val="0"/>
        </w:rPr>
        <w:t xml:space="preserve">.1.1 Marco Normativo</w:t>
      </w:r>
    </w:p>
    <w:p w:rsidR="00000000" w:rsidDel="00000000" w:rsidP="00000000" w:rsidRDefault="00000000" w:rsidRPr="00000000" w14:paraId="0000001E">
      <w:pPr>
        <w:ind w:left="360" w:firstLine="718"/>
        <w:rPr>
          <w:sz w:val="20"/>
          <w:szCs w:val="20"/>
          <w:highlight w:val="white"/>
        </w:rPr>
      </w:pPr>
      <w:r w:rsidDel="00000000" w:rsidR="00000000" w:rsidRPr="00000000">
        <w:rPr>
          <w:sz w:val="20"/>
          <w:szCs w:val="20"/>
          <w:highlight w:val="white"/>
          <w:rtl w:val="0"/>
        </w:rPr>
        <w:t xml:space="preserve">1.1.2 Importancia de los intangibles dentro de las organizaciones</w:t>
      </w:r>
    </w:p>
    <w:p w:rsidR="00000000" w:rsidDel="00000000" w:rsidP="00000000" w:rsidRDefault="00000000" w:rsidRPr="00000000" w14:paraId="0000001F">
      <w:pPr>
        <w:ind w:left="360" w:firstLine="718"/>
        <w:rPr>
          <w:sz w:val="20"/>
          <w:szCs w:val="20"/>
          <w:highlight w:val="white"/>
        </w:rPr>
      </w:pPr>
      <w:r w:rsidDel="00000000" w:rsidR="00000000" w:rsidRPr="00000000">
        <w:rPr>
          <w:sz w:val="20"/>
          <w:szCs w:val="20"/>
          <w:highlight w:val="white"/>
          <w:rtl w:val="0"/>
        </w:rPr>
        <w:t xml:space="preserve">1.1.3 Clasificación de Activos Intangibles</w:t>
      </w:r>
    </w:p>
    <w:p w:rsidR="00000000" w:rsidDel="00000000" w:rsidP="00000000" w:rsidRDefault="00000000" w:rsidRPr="00000000" w14:paraId="00000020">
      <w:pPr>
        <w:ind w:left="360" w:firstLine="718"/>
        <w:rPr>
          <w:sz w:val="20"/>
          <w:szCs w:val="20"/>
          <w:highlight w:val="white"/>
        </w:rPr>
      </w:pPr>
      <w:r w:rsidDel="00000000" w:rsidR="00000000" w:rsidRPr="00000000">
        <w:rPr>
          <w:sz w:val="20"/>
          <w:szCs w:val="20"/>
          <w:highlight w:val="white"/>
          <w:rtl w:val="0"/>
        </w:rPr>
        <w:t xml:space="preserve">1.1.4 Reconocimiento y medición de Intangibles</w:t>
      </w:r>
    </w:p>
    <w:p w:rsidR="00000000" w:rsidDel="00000000" w:rsidP="00000000" w:rsidRDefault="00000000" w:rsidRPr="00000000" w14:paraId="00000021">
      <w:pPr>
        <w:ind w:left="360" w:firstLine="718"/>
        <w:rPr>
          <w:sz w:val="20"/>
          <w:szCs w:val="20"/>
          <w:highlight w:val="white"/>
        </w:rPr>
      </w:pPr>
      <w:r w:rsidDel="00000000" w:rsidR="00000000" w:rsidRPr="00000000">
        <w:rPr>
          <w:sz w:val="20"/>
          <w:szCs w:val="20"/>
          <w:highlight w:val="white"/>
          <w:rtl w:val="0"/>
        </w:rPr>
        <w:t xml:space="preserve">1.1.5 Generalidades de intangibles: vida útil, periodo, método de amortización y valor razonable</w:t>
      </w:r>
    </w:p>
    <w:p w:rsidR="00000000" w:rsidDel="00000000" w:rsidP="00000000" w:rsidRDefault="00000000" w:rsidRPr="00000000" w14:paraId="00000022">
      <w:pPr>
        <w:ind w:left="360" w:firstLine="718"/>
        <w:rPr>
          <w:sz w:val="20"/>
          <w:szCs w:val="20"/>
          <w:highlight w:val="white"/>
        </w:rPr>
      </w:pPr>
      <w:r w:rsidDel="00000000" w:rsidR="00000000" w:rsidRPr="00000000">
        <w:rPr>
          <w:sz w:val="20"/>
          <w:szCs w:val="20"/>
          <w:highlight w:val="white"/>
          <w:rtl w:val="0"/>
        </w:rPr>
        <w:t xml:space="preserve">1.1.6 Política contable de intangibles</w:t>
      </w:r>
    </w:p>
    <w:p w:rsidR="00000000" w:rsidDel="00000000" w:rsidP="00000000" w:rsidRDefault="00000000" w:rsidRPr="00000000" w14:paraId="00000023">
      <w:pPr>
        <w:ind w:firstLine="718"/>
        <w:rPr>
          <w:b w:val="1"/>
          <w:sz w:val="20"/>
          <w:szCs w:val="20"/>
        </w:rPr>
      </w:pPr>
      <w:r w:rsidDel="00000000" w:rsidR="00000000" w:rsidRPr="00000000">
        <w:rPr>
          <w:b w:val="1"/>
          <w:sz w:val="20"/>
          <w:szCs w:val="20"/>
          <w:rtl w:val="0"/>
        </w:rPr>
        <w:t xml:space="preserve">1. 2 Diferidos</w:t>
      </w:r>
    </w:p>
    <w:p w:rsidR="00000000" w:rsidDel="00000000" w:rsidP="00000000" w:rsidRDefault="00000000" w:rsidRPr="00000000" w14:paraId="00000024">
      <w:pPr>
        <w:ind w:firstLine="718"/>
        <w:rPr>
          <w:b w:val="1"/>
          <w:sz w:val="20"/>
          <w:szCs w:val="20"/>
        </w:rPr>
      </w:pPr>
      <w:r w:rsidDel="00000000" w:rsidR="00000000" w:rsidRPr="00000000">
        <w:rPr>
          <w:rtl w:val="0"/>
        </w:rPr>
      </w:r>
    </w:p>
    <w:p w:rsidR="00000000" w:rsidDel="00000000" w:rsidP="00000000" w:rsidRDefault="00000000" w:rsidRPr="00000000" w14:paraId="00000025">
      <w:pPr>
        <w:ind w:left="722" w:firstLine="718"/>
        <w:rPr>
          <w:sz w:val="20"/>
          <w:szCs w:val="20"/>
        </w:rPr>
      </w:pPr>
      <w:r w:rsidDel="00000000" w:rsidR="00000000" w:rsidRPr="00000000">
        <w:rPr>
          <w:sz w:val="20"/>
          <w:szCs w:val="20"/>
          <w:rtl w:val="0"/>
        </w:rPr>
        <w:t xml:space="preserve">1.2.1. Concepto de cargos diferidos</w:t>
      </w:r>
    </w:p>
    <w:p w:rsidR="00000000" w:rsidDel="00000000" w:rsidP="00000000" w:rsidRDefault="00000000" w:rsidRPr="00000000" w14:paraId="00000026">
      <w:pPr>
        <w:ind w:left="722" w:firstLine="718"/>
        <w:jc w:val="both"/>
        <w:rPr>
          <w:color w:val="000000"/>
          <w:sz w:val="20"/>
          <w:szCs w:val="20"/>
          <w:highlight w:val="white"/>
        </w:rPr>
      </w:pPr>
      <w:r w:rsidDel="00000000" w:rsidR="00000000" w:rsidRPr="00000000">
        <w:rPr>
          <w:color w:val="000000"/>
          <w:sz w:val="20"/>
          <w:szCs w:val="20"/>
          <w:highlight w:val="white"/>
          <w:rtl w:val="0"/>
        </w:rPr>
        <w:t xml:space="preserve">1.2.2. Concepto de Gastos Pagados por anticipado</w:t>
      </w:r>
    </w:p>
    <w:p w:rsidR="00000000" w:rsidDel="00000000" w:rsidP="00000000" w:rsidRDefault="00000000" w:rsidRPr="00000000" w14:paraId="00000027">
      <w:pPr>
        <w:ind w:left="722" w:firstLine="718"/>
        <w:rPr>
          <w:sz w:val="20"/>
          <w:szCs w:val="20"/>
          <w:highlight w:val="white"/>
        </w:rPr>
      </w:pPr>
      <w:r w:rsidDel="00000000" w:rsidR="00000000" w:rsidRPr="00000000">
        <w:rPr>
          <w:sz w:val="20"/>
          <w:szCs w:val="20"/>
          <w:highlight w:val="white"/>
          <w:rtl w:val="0"/>
        </w:rPr>
        <w:t xml:space="preserve">1.2.3. Reconocimiento y medición.</w:t>
      </w:r>
    </w:p>
    <w:p w:rsidR="00000000" w:rsidDel="00000000" w:rsidP="00000000" w:rsidRDefault="00000000" w:rsidRPr="00000000" w14:paraId="00000028">
      <w:pPr>
        <w:ind w:left="722" w:firstLine="718"/>
        <w:rPr>
          <w:sz w:val="20"/>
          <w:szCs w:val="20"/>
        </w:rPr>
      </w:pPr>
      <w:r w:rsidDel="00000000" w:rsidR="00000000" w:rsidRPr="00000000">
        <w:rPr>
          <w:sz w:val="20"/>
          <w:szCs w:val="20"/>
          <w:highlight w:val="white"/>
          <w:rtl w:val="0"/>
        </w:rPr>
        <w:t xml:space="preserve">1.2.4. Retiros, enajenaciones y revelación.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240" w:lineRule="auto"/>
        <w:rPr>
          <w:b w:val="1"/>
          <w:sz w:val="20"/>
          <w:szCs w:val="20"/>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B">
      <w:pPr>
        <w:spacing w:before="240" w:lineRule="auto"/>
        <w:ind w:left="2" w:hanging="2"/>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spacing w:before="240" w:lineRule="auto"/>
        <w:ind w:left="2" w:hanging="2"/>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Bienvenido, para comprender este escenario lo invito a ser parte de la construcción del conocimiento en torno al concepto, importancia, características componentes y elementos con respecto a la normativa y tratamiento contable de los intangibles, prescritos en la norma internacional NIC 38. De igual forma se analiza el tratamiento contable de los diferidos, teniendo en cuenta las normas legales vigentes.</w:t>
      </w:r>
    </w:p>
    <w:p w:rsidR="00000000" w:rsidDel="00000000" w:rsidP="00000000" w:rsidRDefault="00000000" w:rsidRPr="00000000" w14:paraId="0000002D">
      <w:pPr>
        <w:spacing w:before="240" w:lineRule="auto"/>
        <w:ind w:left="2" w:hanging="2"/>
        <w:jc w:val="both"/>
        <w:rPr>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b w:val="1"/>
          <w:color w:val="000000"/>
          <w:sz w:val="20"/>
          <w:szCs w:val="20"/>
          <w:highlight w:val="white"/>
          <w:rtl w:val="0"/>
        </w:rPr>
        <w:t xml:space="preserve">Nota aclaratoria: </w:t>
      </w:r>
      <w:r w:rsidDel="00000000" w:rsidR="00000000" w:rsidRPr="00000000">
        <w:rPr>
          <w:color w:val="000000"/>
          <w:sz w:val="20"/>
          <w:szCs w:val="20"/>
          <w:highlight w:val="white"/>
          <w:rtl w:val="0"/>
        </w:rPr>
        <w:t xml:space="preserve">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r w:rsidDel="00000000" w:rsidR="00000000" w:rsidRPr="00000000">
        <w:rPr>
          <w:rtl w:val="0"/>
        </w:rPr>
      </w:r>
    </w:p>
    <w:p w:rsidR="00000000" w:rsidDel="00000000" w:rsidP="00000000" w:rsidRDefault="00000000" w:rsidRPr="00000000" w14:paraId="0000002F">
      <w:pPr>
        <w:spacing w:before="240" w:lineRule="auto"/>
        <w:ind w:left="2" w:hanging="2"/>
        <w:jc w:val="both"/>
        <w:rPr>
          <w:sz w:val="20"/>
          <w:szCs w:val="20"/>
        </w:rPr>
      </w:pPr>
      <w:r w:rsidDel="00000000" w:rsidR="00000000" w:rsidRPr="00000000">
        <w:rPr>
          <w:rtl w:val="0"/>
        </w:rPr>
      </w:r>
    </w:p>
    <w:p w:rsidR="00000000" w:rsidDel="00000000" w:rsidP="00000000" w:rsidRDefault="00000000" w:rsidRPr="00000000" w14:paraId="00000030">
      <w:pPr>
        <w:spacing w:before="240" w:lineRule="auto"/>
        <w:ind w:left="2" w:hanging="2"/>
        <w:rPr>
          <w:b w:val="1"/>
          <w:sz w:val="20"/>
          <w:szCs w:val="20"/>
        </w:rPr>
      </w:pPr>
      <w:r w:rsidDel="00000000" w:rsidR="00000000" w:rsidRPr="00000000">
        <w:rPr>
          <w:b w:val="1"/>
          <w:sz w:val="20"/>
          <w:szCs w:val="20"/>
          <w:rtl w:val="0"/>
        </w:rPr>
        <w:t xml:space="preserve">1. Intangibles y Diferidos</w:t>
      </w:r>
    </w:p>
    <w:p w:rsidR="00000000" w:rsidDel="00000000" w:rsidP="00000000" w:rsidRDefault="00000000" w:rsidRPr="00000000" w14:paraId="00000031">
      <w:pPr>
        <w:shd w:fill="ffffff" w:val="clear"/>
        <w:spacing w:before="240" w:lineRule="auto"/>
        <w:ind w:left="2" w:hanging="2"/>
        <w:jc w:val="both"/>
        <w:rPr>
          <w:sz w:val="20"/>
          <w:szCs w:val="20"/>
        </w:rPr>
      </w:pPr>
      <w:r w:rsidDel="00000000" w:rsidR="00000000" w:rsidRPr="00000000">
        <w:rPr>
          <w:sz w:val="20"/>
          <w:szCs w:val="20"/>
          <w:rtl w:val="0"/>
        </w:rPr>
        <w:t xml:space="preserve">La NIC-38 establece que “un activo intangible debe ser identificable, es de carácter no monetario y sin apariencia física” (Blanco, 2013, p. 5).  </w:t>
      </w:r>
    </w:p>
    <w:p w:rsidR="00000000" w:rsidDel="00000000" w:rsidP="00000000" w:rsidRDefault="00000000" w:rsidRPr="00000000" w14:paraId="00000032">
      <w:pPr>
        <w:shd w:fill="ffffff" w:val="clear"/>
        <w:spacing w:before="240" w:lineRule="auto"/>
        <w:ind w:left="722" w:hanging="2.0000000000000284"/>
        <w:jc w:val="both"/>
        <w:rPr>
          <w:b w:val="1"/>
          <w:sz w:val="20"/>
          <w:szCs w:val="20"/>
        </w:rPr>
      </w:pPr>
      <w:r w:rsidDel="00000000" w:rsidR="00000000" w:rsidRPr="00000000">
        <w:rPr>
          <w:b w:val="1"/>
          <w:sz w:val="20"/>
          <w:szCs w:val="20"/>
          <w:rtl w:val="0"/>
        </w:rPr>
        <w:t xml:space="preserve">1.1.1.</w:t>
      </w:r>
      <w:r w:rsidDel="00000000" w:rsidR="00000000" w:rsidRPr="00000000">
        <w:rPr>
          <w:sz w:val="20"/>
          <w:szCs w:val="20"/>
          <w:rtl w:val="0"/>
        </w:rPr>
        <w:t xml:space="preserve"> </w:t>
      </w:r>
      <w:r w:rsidDel="00000000" w:rsidR="00000000" w:rsidRPr="00000000">
        <w:rPr>
          <w:b w:val="1"/>
          <w:sz w:val="20"/>
          <w:szCs w:val="20"/>
          <w:rtl w:val="0"/>
        </w:rPr>
        <w:t xml:space="preserve">Marco Normativo</w:t>
      </w:r>
    </w:p>
    <w:p w:rsidR="00000000" w:rsidDel="00000000" w:rsidP="00000000" w:rsidRDefault="00000000" w:rsidRPr="00000000" w14:paraId="00000033">
      <w:pPr>
        <w:shd w:fill="ffffff" w:val="clear"/>
        <w:spacing w:before="240" w:lineRule="auto"/>
        <w:ind w:left="2" w:hanging="2"/>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Para realizar la presentación razonable y en cumplimiento de las NIIF, los estados financieros siempre deben reflejar, razonablemente, todas y cada una de sus partidas, dentro de las que se encuentran, los activos intangibles. Esta presentación razonable exige proporcionar la imagen fiel de los efectos de las transacciones, eventos y condiciones de acuerdo con las definiciones y criterios de reconocimiento de los activos, pasivos, ingresos y gastos fijados en el Marco Conceptual de la norma.</w:t>
      </w:r>
    </w:p>
    <w:p w:rsidR="00000000" w:rsidDel="00000000" w:rsidP="00000000" w:rsidRDefault="00000000" w:rsidRPr="00000000" w14:paraId="00000034">
      <w:pPr>
        <w:shd w:fill="ffffff" w:val="clear"/>
        <w:spacing w:before="240" w:lineRule="auto"/>
        <w:ind w:left="722" w:hanging="2.0000000000000284"/>
        <w:jc w:val="both"/>
        <w:rPr>
          <w:b w:val="1"/>
          <w:sz w:val="20"/>
          <w:szCs w:val="20"/>
        </w:rPr>
      </w:pPr>
      <w:r w:rsidDel="00000000" w:rsidR="00000000" w:rsidRPr="00000000">
        <w:rPr>
          <w:b w:val="1"/>
          <w:sz w:val="20"/>
          <w:szCs w:val="20"/>
          <w:rtl w:val="0"/>
        </w:rPr>
        <w:t xml:space="preserve">1.1.2. Importancia de los intangibles dentro de las organizaciones</w:t>
      </w:r>
    </w:p>
    <w:p w:rsidR="00000000" w:rsidDel="00000000" w:rsidP="00000000" w:rsidRDefault="00000000" w:rsidRPr="00000000" w14:paraId="00000035">
      <w:pPr>
        <w:shd w:fill="ffffff" w:val="clear"/>
        <w:spacing w:before="240" w:lineRule="auto"/>
        <w:ind w:left="2" w:hanging="2"/>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Los intangibles se han convertido en un factor importante dentro de las organizaciones y su valor agregado se ve reflejado a través de diferentes elementos (licencias, concesiones, patentes, propiedad intelectual, software entre otros) que han tenido relevancia y se han catalogado como activos capitalizables dentro de las organizaciones.</w:t>
      </w:r>
    </w:p>
    <w:p w:rsidR="00000000" w:rsidDel="00000000" w:rsidP="00000000" w:rsidRDefault="00000000" w:rsidRPr="00000000" w14:paraId="00000036">
      <w:pPr>
        <w:spacing w:before="240" w:lineRule="auto"/>
        <w:ind w:left="2" w:hanging="2"/>
        <w:jc w:val="both"/>
        <w:rPr>
          <w:sz w:val="20"/>
          <w:szCs w:val="20"/>
        </w:rPr>
      </w:pPr>
      <w:r w:rsidDel="00000000" w:rsidR="00000000" w:rsidRPr="00000000">
        <w:rPr>
          <w:sz w:val="20"/>
          <w:szCs w:val="20"/>
          <w:rtl w:val="0"/>
        </w:rPr>
        <w:t xml:space="preserve">Es importante reconocer que los activos intangibles no crean valor por sí mismos, puesto que, estos deben ir acompañados por la capacidad intelectual del factor humano ya que, en muchas ocasiones el mal manejo de estos elementos, o un mal reconocimiento o medición de estos activos dentro de las organizaciones pueden generar declive o desprendimiento de valor para el bien o servicio.</w:t>
      </w:r>
    </w:p>
    <w:p w:rsidR="00000000" w:rsidDel="00000000" w:rsidP="00000000" w:rsidRDefault="00000000" w:rsidRPr="00000000" w14:paraId="00000037">
      <w:pPr>
        <w:spacing w:before="240" w:lineRule="auto"/>
        <w:ind w:left="2" w:hanging="2"/>
        <w:jc w:val="both"/>
        <w:rPr>
          <w:sz w:val="20"/>
          <w:szCs w:val="20"/>
        </w:rPr>
      </w:pPr>
      <w:r w:rsidDel="00000000" w:rsidR="00000000" w:rsidRPr="00000000">
        <w:rPr>
          <w:rtl w:val="0"/>
        </w:rPr>
      </w:r>
    </w:p>
    <w:p w:rsidR="00000000" w:rsidDel="00000000" w:rsidP="00000000" w:rsidRDefault="00000000" w:rsidRPr="00000000" w14:paraId="00000038">
      <w:pPr>
        <w:shd w:fill="ffffff" w:val="clear"/>
        <w:spacing w:before="240" w:lineRule="auto"/>
        <w:ind w:left="722" w:hanging="2.0000000000000284"/>
        <w:jc w:val="both"/>
        <w:rPr>
          <w:color w:val="000000"/>
          <w:sz w:val="20"/>
          <w:szCs w:val="20"/>
        </w:rPr>
      </w:pPr>
      <w:r w:rsidDel="00000000" w:rsidR="00000000" w:rsidRPr="00000000">
        <w:rPr>
          <w:b w:val="1"/>
          <w:color w:val="000000"/>
          <w:sz w:val="20"/>
          <w:szCs w:val="20"/>
          <w:rtl w:val="0"/>
        </w:rPr>
        <w:t xml:space="preserve">1.1.3. Clasificación de Activos Intangibles</w:t>
      </w:r>
      <w:r w:rsidDel="00000000" w:rsidR="00000000" w:rsidRPr="00000000">
        <w:rPr>
          <w:rtl w:val="0"/>
        </w:rPr>
      </w:r>
    </w:p>
    <w:p w:rsidR="00000000" w:rsidDel="00000000" w:rsidP="00000000" w:rsidRDefault="00000000" w:rsidRPr="00000000" w14:paraId="00000039">
      <w:pPr>
        <w:spacing w:before="240" w:lineRule="auto"/>
        <w:ind w:left="2" w:firstLine="0"/>
        <w:jc w:val="both"/>
        <w:rPr>
          <w:sz w:val="20"/>
          <w:szCs w:val="20"/>
        </w:rPr>
      </w:pPr>
      <w:r w:rsidDel="00000000" w:rsidR="00000000" w:rsidRPr="00000000">
        <w:rPr>
          <w:b w:val="1"/>
          <w:sz w:val="20"/>
          <w:szCs w:val="20"/>
          <w:rtl w:val="0"/>
        </w:rPr>
        <w:t xml:space="preserve">Activos Intangibles No Identificables</w:t>
      </w:r>
      <w:r w:rsidDel="00000000" w:rsidR="00000000" w:rsidRPr="00000000">
        <w:rPr>
          <w:sz w:val="20"/>
          <w:szCs w:val="20"/>
          <w:rtl w:val="0"/>
        </w:rPr>
        <w:t xml:space="preserve">: </w:t>
      </w:r>
    </w:p>
    <w:p w:rsidR="00000000" w:rsidDel="00000000" w:rsidP="00000000" w:rsidRDefault="00000000" w:rsidRPr="00000000" w14:paraId="0000003A">
      <w:pPr>
        <w:spacing w:before="240" w:lineRule="auto"/>
        <w:ind w:left="2" w:firstLine="0"/>
        <w:jc w:val="both"/>
        <w:rPr>
          <w:sz w:val="20"/>
          <w:szCs w:val="20"/>
        </w:rPr>
      </w:pPr>
      <w:bookmarkStart w:colFirst="0" w:colLast="0" w:name="_heading=h.2et92p0" w:id="0"/>
      <w:bookmarkEnd w:id="0"/>
      <w:r w:rsidDel="00000000" w:rsidR="00000000" w:rsidRPr="00000000">
        <w:rPr>
          <w:sz w:val="20"/>
          <w:szCs w:val="20"/>
          <w:rtl w:val="0"/>
        </w:rPr>
        <w:br w:type="textWrapping"/>
        <w:t xml:space="preserve">Son activos que no se pueden separar. Por ejemplo, una empresa no puede vender su posicionamiento porque tendría que vender toda la empresa, no puede vender por un lado la empresa y por otro lado el posicionamiento, se tiene que vender las dos cosas en conjunto ya que son inherentes a la entidad. </w:t>
      </w:r>
    </w:p>
    <w:p w:rsidR="00000000" w:rsidDel="00000000" w:rsidP="00000000" w:rsidRDefault="00000000" w:rsidRPr="00000000" w14:paraId="0000003B">
      <w:pPr>
        <w:spacing w:before="240" w:lineRule="auto"/>
        <w:ind w:left="2" w:firstLine="0"/>
        <w:jc w:val="both"/>
        <w:rPr>
          <w:b w:val="1"/>
          <w:sz w:val="20"/>
          <w:szCs w:val="20"/>
        </w:rPr>
      </w:pPr>
      <w:r w:rsidDel="00000000" w:rsidR="00000000" w:rsidRPr="00000000">
        <w:rPr>
          <w:b w:val="1"/>
          <w:sz w:val="20"/>
          <w:szCs w:val="20"/>
          <w:rtl w:val="0"/>
        </w:rPr>
        <w:t xml:space="preserve">Activos Intangibles Identificables:</w:t>
      </w:r>
    </w:p>
    <w:p w:rsidR="00000000" w:rsidDel="00000000" w:rsidP="00000000" w:rsidRDefault="00000000" w:rsidRPr="00000000" w14:paraId="0000003C">
      <w:pPr>
        <w:spacing w:before="240" w:lineRule="auto"/>
        <w:ind w:left="2" w:firstLine="0"/>
        <w:jc w:val="both"/>
        <w:rPr>
          <w:sz w:val="20"/>
          <w:szCs w:val="20"/>
        </w:rPr>
      </w:pPr>
      <w:r w:rsidDel="00000000" w:rsidR="00000000" w:rsidRPr="00000000">
        <w:rPr>
          <w:b w:val="1"/>
          <w:sz w:val="20"/>
          <w:szCs w:val="20"/>
          <w:rtl w:val="0"/>
        </w:rPr>
        <w:t xml:space="preserve"> </w:t>
        <w:br w:type="textWrapping"/>
      </w:r>
      <w:r w:rsidDel="00000000" w:rsidR="00000000" w:rsidRPr="00000000">
        <w:rPr>
          <w:sz w:val="20"/>
          <w:szCs w:val="20"/>
          <w:rtl w:val="0"/>
        </w:rPr>
        <w:t xml:space="preserve">Contrario a los no identificables los activos identificables son activos que se pueden separar. En este caso, podemos señalar algunos ejemplos como, los relacionados con la tecnología, bases de datos, software, licencias entre otros. </w:t>
      </w:r>
    </w:p>
    <w:p w:rsidR="00000000" w:rsidDel="00000000" w:rsidP="00000000" w:rsidRDefault="00000000" w:rsidRPr="00000000" w14:paraId="0000003D">
      <w:pPr>
        <w:shd w:fill="ffffff" w:val="clear"/>
        <w:spacing w:before="240" w:lineRule="auto"/>
        <w:ind w:left="720" w:firstLine="0"/>
        <w:rPr>
          <w:b w:val="1"/>
          <w:sz w:val="20"/>
          <w:szCs w:val="20"/>
        </w:rPr>
      </w:pPr>
      <w:r w:rsidDel="00000000" w:rsidR="00000000" w:rsidRPr="00000000">
        <w:rPr>
          <w:b w:val="1"/>
          <w:sz w:val="20"/>
          <w:szCs w:val="20"/>
          <w:rtl w:val="0"/>
        </w:rPr>
        <w:t xml:space="preserve">1.1</w:t>
      </w:r>
      <w:r w:rsidDel="00000000" w:rsidR="00000000" w:rsidRPr="00000000">
        <w:rPr>
          <w:b w:val="1"/>
          <w:color w:val="000000"/>
          <w:sz w:val="20"/>
          <w:szCs w:val="20"/>
          <w:rtl w:val="0"/>
        </w:rPr>
        <w:t xml:space="preserve">.4. Reconocimiento y medición de Intangibles</w:t>
      </w:r>
      <w:r w:rsidDel="00000000" w:rsidR="00000000" w:rsidRPr="00000000">
        <w:rPr>
          <w:b w:val="1"/>
          <w:sz w:val="20"/>
          <w:szCs w:val="20"/>
          <w:rtl w:val="0"/>
        </w:rPr>
        <w:br w:type="textWrapping"/>
      </w:r>
    </w:p>
    <w:p w:rsidR="00000000" w:rsidDel="00000000" w:rsidP="00000000" w:rsidRDefault="00000000" w:rsidRPr="00000000" w14:paraId="0000003E">
      <w:pPr>
        <w:shd w:fill="ffffff" w:val="clear"/>
        <w:spacing w:before="240" w:lineRule="auto"/>
        <w:jc w:val="both"/>
        <w:rPr>
          <w:b w:val="1"/>
          <w:sz w:val="20"/>
          <w:szCs w:val="20"/>
        </w:rPr>
      </w:pPr>
      <w:r w:rsidDel="00000000" w:rsidR="00000000" w:rsidRPr="00000000">
        <w:rPr>
          <w:b w:val="1"/>
          <w:sz w:val="20"/>
          <w:szCs w:val="20"/>
          <w:rtl w:val="0"/>
        </w:rPr>
        <w:t xml:space="preserve">Reconocimiento de Intangibles.</w:t>
      </w:r>
    </w:p>
    <w:p w:rsidR="00000000" w:rsidDel="00000000" w:rsidP="00000000" w:rsidRDefault="00000000" w:rsidRPr="00000000" w14:paraId="0000003F">
      <w:pPr>
        <w:shd w:fill="ffffff" w:val="clear"/>
        <w:spacing w:before="240" w:lineRule="auto"/>
        <w:jc w:val="both"/>
        <w:rPr>
          <w:b w:val="1"/>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Las Normas Internacionales de Información Financiera (NIIF) - NIC 38 Activos Intangibles, reconocerán los activos intangibles teniendo en cuenta la circunstancia o la eventualidad de la adquisición. </w:t>
      </w:r>
      <w:r w:rsidDel="00000000" w:rsidR="00000000" w:rsidRPr="00000000">
        <w:rPr>
          <w:rtl w:val="0"/>
        </w:rPr>
      </w:r>
    </w:p>
    <w:p w:rsidR="00000000" w:rsidDel="00000000" w:rsidP="00000000" w:rsidRDefault="00000000" w:rsidRPr="00000000" w14:paraId="00000040">
      <w:pPr>
        <w:shd w:fill="ffffff" w:val="clear"/>
        <w:spacing w:before="240" w:lineRule="auto"/>
        <w:jc w:val="both"/>
        <w:rPr>
          <w:sz w:val="20"/>
          <w:szCs w:val="20"/>
        </w:rPr>
      </w:pPr>
      <w:r w:rsidDel="00000000" w:rsidR="00000000" w:rsidRPr="00000000">
        <w:rPr>
          <w:sz w:val="20"/>
          <w:szCs w:val="20"/>
          <w:rtl w:val="0"/>
        </w:rPr>
        <w:t xml:space="preserve">Estos activos pueden ser adquiridos por separado, como parte de una combinación de negocios, mediante una subvención del gobierno, o a través de permuta.</w:t>
      </w:r>
    </w:p>
    <w:p w:rsidR="00000000" w:rsidDel="00000000" w:rsidP="00000000" w:rsidRDefault="00000000" w:rsidRPr="00000000" w14:paraId="00000041">
      <w:pPr>
        <w:spacing w:before="240" w:lineRule="auto"/>
        <w:jc w:val="both"/>
        <w:rPr>
          <w:sz w:val="20"/>
          <w:szCs w:val="20"/>
        </w:rPr>
      </w:pPr>
      <w:r w:rsidDel="00000000" w:rsidR="00000000" w:rsidRPr="00000000">
        <w:rPr>
          <w:sz w:val="20"/>
          <w:szCs w:val="20"/>
          <w:rtl w:val="0"/>
        </w:rPr>
        <w:t xml:space="preserve">De igual manera es importante tener claro que los activos intangibles cuando se adquieren por separado se reconocerán por el precio de adquisición y cualquier otro costo directamente atribuible a la preparación y puesta en marcha del activo, y cuando son adquiridos mediante permuta de activos se reconocerán por el valor en libros del activo entregado o por el valor razonable. En los demás casos se reconocerá por su valor razonable.</w:t>
      </w:r>
    </w:p>
    <w:p w:rsidR="00000000" w:rsidDel="00000000" w:rsidP="00000000" w:rsidRDefault="00000000" w:rsidRPr="00000000" w14:paraId="00000042">
      <w:pPr>
        <w:shd w:fill="ffffff" w:val="clear"/>
        <w:spacing w:before="240" w:lineRule="auto"/>
        <w:ind w:left="2" w:hanging="2"/>
        <w:jc w:val="both"/>
        <w:rPr>
          <w:sz w:val="20"/>
          <w:szCs w:val="20"/>
        </w:rPr>
      </w:pPr>
      <w:r w:rsidDel="00000000" w:rsidR="00000000" w:rsidRPr="00000000">
        <w:rPr>
          <w:b w:val="1"/>
          <w:sz w:val="20"/>
          <w:szCs w:val="20"/>
          <w:rtl w:val="0"/>
        </w:rPr>
        <w:t xml:space="preserve">Medición de Intangibles</w:t>
      </w:r>
      <w:r w:rsidDel="00000000" w:rsidR="00000000" w:rsidRPr="00000000">
        <w:rPr>
          <w:rtl w:val="0"/>
        </w:rPr>
      </w:r>
    </w:p>
    <w:p w:rsidR="00000000" w:rsidDel="00000000" w:rsidP="00000000" w:rsidRDefault="00000000" w:rsidRPr="00000000" w14:paraId="00000043">
      <w:pPr>
        <w:spacing w:before="240" w:lineRule="auto"/>
        <w:jc w:val="both"/>
        <w:rPr>
          <w:color w:val="000000"/>
          <w:sz w:val="20"/>
          <w:szCs w:val="20"/>
        </w:rPr>
      </w:pPr>
      <w:r w:rsidDel="00000000" w:rsidR="00000000" w:rsidRPr="00000000">
        <w:rPr>
          <w:color w:val="000000"/>
          <w:sz w:val="20"/>
          <w:szCs w:val="20"/>
          <w:rtl w:val="0"/>
        </w:rPr>
        <w:t xml:space="preserve">De acuerdo con la NIC 38 un activo intangible se mide inicialmente al costo. Este costo comprende el precio de adquisición teniendo en cuenta los aranceles de importación e impuestos descontables en que se incurran sobre la adquisición, una vez aplicados los descuentos y rebajas comerciales, como también cualquier otro costo directamente atribuido y que implique la puesta en marcha y funcionamiento del activo.</w:t>
      </w:r>
    </w:p>
    <w:p w:rsidR="00000000" w:rsidDel="00000000" w:rsidP="00000000" w:rsidRDefault="00000000" w:rsidRPr="00000000" w14:paraId="00000044">
      <w:pPr>
        <w:spacing w:before="240" w:lineRule="auto"/>
        <w:ind w:left="722" w:hanging="2.0000000000000284"/>
        <w:jc w:val="both"/>
        <w:rPr>
          <w:b w:val="1"/>
          <w:color w:val="000000"/>
          <w:sz w:val="20"/>
          <w:szCs w:val="20"/>
        </w:rPr>
      </w:pPr>
      <w:r w:rsidDel="00000000" w:rsidR="00000000" w:rsidRPr="00000000">
        <w:rPr>
          <w:rtl w:val="0"/>
        </w:rPr>
      </w:r>
    </w:p>
    <w:p w:rsidR="00000000" w:rsidDel="00000000" w:rsidP="00000000" w:rsidRDefault="00000000" w:rsidRPr="00000000" w14:paraId="00000045">
      <w:pPr>
        <w:spacing w:before="240" w:lineRule="auto"/>
        <w:ind w:left="722" w:hanging="2.0000000000000284"/>
        <w:jc w:val="both"/>
        <w:rPr>
          <w:b w:val="1"/>
          <w:color w:val="000000"/>
          <w:sz w:val="20"/>
          <w:szCs w:val="20"/>
        </w:rPr>
      </w:pPr>
      <w:r w:rsidDel="00000000" w:rsidR="00000000" w:rsidRPr="00000000">
        <w:rPr>
          <w:rtl w:val="0"/>
        </w:rPr>
      </w:r>
    </w:p>
    <w:p w:rsidR="00000000" w:rsidDel="00000000" w:rsidP="00000000" w:rsidRDefault="00000000" w:rsidRPr="00000000" w14:paraId="00000046">
      <w:pPr>
        <w:spacing w:before="240" w:lineRule="auto"/>
        <w:ind w:left="722" w:hanging="2.0000000000000284"/>
        <w:jc w:val="both"/>
        <w:rPr>
          <w:b w:val="1"/>
          <w:color w:val="000000"/>
          <w:sz w:val="20"/>
          <w:szCs w:val="20"/>
        </w:rPr>
      </w:pPr>
      <w:r w:rsidDel="00000000" w:rsidR="00000000" w:rsidRPr="00000000">
        <w:rPr>
          <w:rtl w:val="0"/>
        </w:rPr>
      </w:r>
    </w:p>
    <w:p w:rsidR="00000000" w:rsidDel="00000000" w:rsidP="00000000" w:rsidRDefault="00000000" w:rsidRPr="00000000" w14:paraId="00000047">
      <w:pPr>
        <w:spacing w:before="240" w:lineRule="auto"/>
        <w:ind w:left="722" w:hanging="2.0000000000000284"/>
        <w:jc w:val="both"/>
        <w:rPr>
          <w:color w:val="000000"/>
          <w:sz w:val="20"/>
          <w:szCs w:val="20"/>
        </w:rPr>
      </w:pPr>
      <w:bookmarkStart w:colFirst="0" w:colLast="0" w:name="_heading=h.1t3h5sf" w:id="1"/>
      <w:bookmarkEnd w:id="1"/>
      <w:r w:rsidDel="00000000" w:rsidR="00000000" w:rsidRPr="00000000">
        <w:rPr>
          <w:b w:val="1"/>
          <w:color w:val="000000"/>
          <w:sz w:val="20"/>
          <w:szCs w:val="20"/>
          <w:rtl w:val="0"/>
        </w:rPr>
        <w:t xml:space="preserve">1.1.5. Generalidades de intangibles: vida útil, periodo, método de amortización y valor razonable.</w:t>
      </w:r>
      <w:r w:rsidDel="00000000" w:rsidR="00000000" w:rsidRPr="00000000">
        <w:rPr>
          <w:rtl w:val="0"/>
        </w:rPr>
      </w:r>
    </w:p>
    <w:p w:rsidR="00000000" w:rsidDel="00000000" w:rsidP="00000000" w:rsidRDefault="00000000" w:rsidRPr="00000000" w14:paraId="00000048">
      <w:pPr>
        <w:spacing w:before="240" w:lineRule="auto"/>
        <w:ind w:left="722" w:hanging="2.0000000000000284"/>
        <w:jc w:val="both"/>
        <w:rPr>
          <w:color w:val="000000"/>
          <w:sz w:val="20"/>
          <w:szCs w:val="20"/>
        </w:rPr>
      </w:pPr>
      <w:r w:rsidDel="00000000" w:rsidR="00000000" w:rsidRPr="00000000">
        <w:rPr>
          <w:rtl w:val="0"/>
        </w:rPr>
      </w:r>
    </w:p>
    <w:p w:rsidR="00000000" w:rsidDel="00000000" w:rsidP="00000000" w:rsidRDefault="00000000" w:rsidRPr="00000000" w14:paraId="00000049">
      <w:pPr>
        <w:shd w:fill="ffffff" w:val="clear"/>
        <w:spacing w:before="240" w:lineRule="auto"/>
        <w:jc w:val="both"/>
        <w:rPr>
          <w:sz w:val="20"/>
          <w:szCs w:val="20"/>
        </w:rPr>
      </w:pPr>
      <w:r w:rsidDel="00000000" w:rsidR="00000000" w:rsidRPr="00000000">
        <w:rPr>
          <w:b w:val="1"/>
          <w:sz w:val="20"/>
          <w:szCs w:val="20"/>
          <w:rtl w:val="0"/>
        </w:rPr>
        <w:t xml:space="preserve">Vida Útil</w:t>
      </w:r>
      <w:r w:rsidDel="00000000" w:rsidR="00000000" w:rsidRPr="00000000">
        <w:rPr>
          <w:rtl w:val="0"/>
        </w:rPr>
      </w:r>
    </w:p>
    <w:p w:rsidR="00000000" w:rsidDel="00000000" w:rsidP="00000000" w:rsidRDefault="00000000" w:rsidRPr="00000000" w14:paraId="0000004A">
      <w:pPr>
        <w:spacing w:before="240" w:lineRule="auto"/>
        <w:ind w:left="2" w:hanging="2"/>
        <w:jc w:val="both"/>
        <w:rPr>
          <w:color w:val="000000"/>
          <w:sz w:val="20"/>
          <w:szCs w:val="20"/>
        </w:rPr>
      </w:pPr>
      <w:r w:rsidDel="00000000" w:rsidR="00000000" w:rsidRPr="00000000">
        <w:rPr>
          <w:color w:val="000000"/>
          <w:sz w:val="20"/>
          <w:szCs w:val="20"/>
          <w:rtl w:val="0"/>
        </w:rPr>
        <w:t xml:space="preserve">La vida útil de los activos intangibles es considerada como el periodo de tiempo, durante el cual se espera contribuyan a la generación de flujos de efectivo para la entidad.</w:t>
      </w:r>
    </w:p>
    <w:p w:rsidR="00000000" w:rsidDel="00000000" w:rsidP="00000000" w:rsidRDefault="00000000" w:rsidRPr="00000000" w14:paraId="0000004B">
      <w:pPr>
        <w:spacing w:before="240" w:lineRule="auto"/>
        <w:ind w:left="2" w:hanging="2"/>
        <w:jc w:val="both"/>
        <w:rPr>
          <w:color w:val="000000"/>
          <w:sz w:val="20"/>
          <w:szCs w:val="20"/>
        </w:rPr>
      </w:pPr>
      <w:r w:rsidDel="00000000" w:rsidR="00000000" w:rsidRPr="00000000">
        <w:rPr>
          <w:color w:val="000000"/>
          <w:sz w:val="20"/>
          <w:szCs w:val="20"/>
          <w:rtl w:val="0"/>
        </w:rPr>
        <w:t xml:space="preserve">Una entidad deberá considerar si la vida útil de un activo intangible es finita o indefinida, si el activo tiene una vida finita se amortizará. Estos activos cuando son generados internamente tienen una vida útil definida. En el caso donde no pueda determinarse con fiabilidad, se estima que es de 10 años.</w:t>
      </w:r>
    </w:p>
    <w:p w:rsidR="00000000" w:rsidDel="00000000" w:rsidP="00000000" w:rsidRDefault="00000000" w:rsidRPr="00000000" w14:paraId="0000004C">
      <w:pPr>
        <w:spacing w:before="240" w:lineRule="auto"/>
        <w:ind w:left="2" w:hanging="2"/>
        <w:jc w:val="both"/>
        <w:rPr>
          <w:color w:val="000000"/>
          <w:sz w:val="20"/>
          <w:szCs w:val="20"/>
        </w:rPr>
      </w:pPr>
      <w:r w:rsidDel="00000000" w:rsidR="00000000" w:rsidRPr="00000000">
        <w:rPr>
          <w:color w:val="000000"/>
          <w:sz w:val="20"/>
          <w:szCs w:val="20"/>
          <w:rtl w:val="0"/>
        </w:rPr>
        <w:t xml:space="preserve">Normalmente los activos con vida útil finita se amortizan. Si, el activo tiene una vida infinita no se amortizará, pero cada periodo se deberá evaluar si existe o no deterioro.</w:t>
      </w:r>
    </w:p>
    <w:p w:rsidR="00000000" w:rsidDel="00000000" w:rsidP="00000000" w:rsidRDefault="00000000" w:rsidRPr="00000000" w14:paraId="0000004D">
      <w:pPr>
        <w:spacing w:before="240" w:lineRule="auto"/>
        <w:ind w:left="2" w:hanging="2"/>
        <w:jc w:val="both"/>
        <w:rPr>
          <w:sz w:val="20"/>
          <w:szCs w:val="20"/>
        </w:rPr>
      </w:pPr>
      <w:r w:rsidDel="00000000" w:rsidR="00000000" w:rsidRPr="00000000">
        <w:rPr>
          <w:color w:val="000000"/>
          <w:sz w:val="20"/>
          <w:szCs w:val="20"/>
          <w:rtl w:val="0"/>
        </w:rPr>
        <w:t xml:space="preserve">De acuerdo con la NIC 38 la vida útil es “el periodo durante el cual se espera que la entidad utilice el activo” o “el número de unidades de producción o similares que se espera obtener del mismo por parte de una entidad”. </w:t>
      </w:r>
      <w:r w:rsidDel="00000000" w:rsidR="00000000" w:rsidRPr="00000000">
        <w:rPr>
          <w:rtl w:val="0"/>
        </w:rPr>
      </w:r>
    </w:p>
    <w:p w:rsidR="00000000" w:rsidDel="00000000" w:rsidP="00000000" w:rsidRDefault="00000000" w:rsidRPr="00000000" w14:paraId="0000004E">
      <w:pPr>
        <w:shd w:fill="ffffff" w:val="clear"/>
        <w:spacing w:before="240" w:lineRule="auto"/>
        <w:ind w:left="2" w:hanging="2"/>
        <w:jc w:val="both"/>
        <w:rPr>
          <w:sz w:val="20"/>
          <w:szCs w:val="20"/>
        </w:rPr>
      </w:pPr>
      <w:r w:rsidDel="00000000" w:rsidR="00000000" w:rsidRPr="00000000">
        <w:rPr>
          <w:b w:val="1"/>
          <w:sz w:val="20"/>
          <w:szCs w:val="20"/>
          <w:rtl w:val="0"/>
        </w:rPr>
        <w:t xml:space="preserve">Ejemplo: </w:t>
      </w:r>
      <w:r w:rsidDel="00000000" w:rsidR="00000000" w:rsidRPr="00000000">
        <w:rPr>
          <w:rtl w:val="0"/>
        </w:rPr>
      </w:r>
    </w:p>
    <w:p w:rsidR="00000000" w:rsidDel="00000000" w:rsidP="00000000" w:rsidRDefault="00000000" w:rsidRPr="00000000" w14:paraId="0000004F">
      <w:pPr>
        <w:shd w:fill="ffffff" w:val="clear"/>
        <w:spacing w:before="240" w:lineRule="auto"/>
        <w:ind w:left="2" w:hanging="2"/>
        <w:jc w:val="both"/>
        <w:rPr>
          <w:sz w:val="20"/>
          <w:szCs w:val="20"/>
        </w:rPr>
      </w:pPr>
      <w:r w:rsidDel="00000000" w:rsidR="00000000" w:rsidRPr="00000000">
        <w:rPr>
          <w:sz w:val="20"/>
          <w:szCs w:val="20"/>
          <w:rtl w:val="0"/>
        </w:rPr>
        <w:t xml:space="preserve">La compañía SABACO Ltda., el 1 de enero del año 20X1, adquiere una patente farmacéutica, a la que le queda una vida útil de 6 años, por $4.500.000.  En la misma fecha adquiere una marca comercial por $2.500.000. </w:t>
      </w:r>
    </w:p>
    <w:p w:rsidR="00000000" w:rsidDel="00000000" w:rsidP="00000000" w:rsidRDefault="00000000" w:rsidRPr="00000000" w14:paraId="00000050">
      <w:pPr>
        <w:shd w:fill="ffffff" w:val="clear"/>
        <w:spacing w:before="240" w:lineRule="auto"/>
        <w:ind w:left="2" w:hanging="2"/>
        <w:jc w:val="both"/>
        <w:rPr>
          <w:sz w:val="20"/>
          <w:szCs w:val="20"/>
        </w:rPr>
      </w:pPr>
      <w:r w:rsidDel="00000000" w:rsidR="00000000" w:rsidRPr="00000000">
        <w:rPr>
          <w:sz w:val="20"/>
          <w:szCs w:val="20"/>
          <w:rtl w:val="0"/>
        </w:rPr>
        <w:t xml:space="preserve">A principios del año 20X3 la entidad analiza que, la marca ha sufrido un </w:t>
      </w:r>
      <w:r w:rsidDel="00000000" w:rsidR="00000000" w:rsidRPr="00000000">
        <w:rPr>
          <w:i w:val="1"/>
          <w:sz w:val="20"/>
          <w:szCs w:val="20"/>
          <w:rtl w:val="0"/>
        </w:rPr>
        <w:t xml:space="preserve">deterioro </w:t>
      </w:r>
      <w:r w:rsidDel="00000000" w:rsidR="00000000" w:rsidRPr="00000000">
        <w:rPr>
          <w:sz w:val="20"/>
          <w:szCs w:val="20"/>
          <w:rtl w:val="0"/>
        </w:rPr>
        <w:t xml:space="preserve">del 30% de su valor y que dejará de tener valor comercial y por tanto dejará de producir flujos de efectivo dentro de 4 años.</w:t>
      </w:r>
    </w:p>
    <w:p w:rsidR="00000000" w:rsidDel="00000000" w:rsidP="00000000" w:rsidRDefault="00000000" w:rsidRPr="00000000" w14:paraId="00000051">
      <w:pPr>
        <w:shd w:fill="ffffff" w:val="clear"/>
        <w:spacing w:before="240" w:lineRule="auto"/>
        <w:ind w:left="2" w:hanging="2"/>
        <w:jc w:val="both"/>
        <w:rPr>
          <w:sz w:val="20"/>
          <w:szCs w:val="20"/>
        </w:rPr>
      </w:pPr>
      <w:r w:rsidDel="00000000" w:rsidR="00000000" w:rsidRPr="00000000">
        <w:rPr>
          <w:sz w:val="20"/>
          <w:szCs w:val="20"/>
          <w:rtl w:val="0"/>
        </w:rPr>
        <w:t xml:space="preserve">De acuerdo con la NIC 38 la vida útil es “el periodo durante el cual se espera que la entidad utilice el activo” o “el número de unidades de producción o similares que se espera obtener del mismo por parte de una entidad”. </w:t>
      </w:r>
    </w:p>
    <w:p w:rsidR="00000000" w:rsidDel="00000000" w:rsidP="00000000" w:rsidRDefault="00000000" w:rsidRPr="00000000" w14:paraId="00000052">
      <w:pPr>
        <w:spacing w:before="240" w:lineRule="auto"/>
        <w:ind w:left="2" w:hanging="2"/>
        <w:jc w:val="both"/>
        <w:rPr>
          <w:color w:val="000000"/>
          <w:sz w:val="20"/>
          <w:szCs w:val="20"/>
        </w:rPr>
      </w:pPr>
      <w:r w:rsidDel="00000000" w:rsidR="00000000" w:rsidRPr="00000000">
        <w:rPr>
          <w:color w:val="000000"/>
          <w:sz w:val="20"/>
          <w:szCs w:val="20"/>
          <w:rtl w:val="0"/>
        </w:rPr>
        <w:t xml:space="preserve">1. Enero 1 de 20X1 se realiza el registro de la adquisición de la patente y de la marca:</w:t>
      </w:r>
    </w:p>
    <w:p w:rsidR="00000000" w:rsidDel="00000000" w:rsidP="00000000" w:rsidRDefault="00000000" w:rsidRPr="00000000" w14:paraId="00000053">
      <w:pPr>
        <w:spacing w:before="240" w:lineRule="auto"/>
        <w:ind w:left="2" w:hanging="2"/>
        <w:jc w:val="both"/>
        <w:rPr>
          <w:sz w:val="20"/>
          <w:szCs w:val="20"/>
        </w:rPr>
      </w:pPr>
      <w:r w:rsidDel="00000000" w:rsidR="00000000" w:rsidRPr="00000000">
        <w:rPr>
          <w:sz w:val="20"/>
          <w:szCs w:val="20"/>
          <w:rtl w:val="0"/>
        </w:rPr>
        <w:t xml:space="preserve">**Causación- reconocimiento</w:t>
      </w:r>
    </w:p>
    <w:p w:rsidR="00000000" w:rsidDel="00000000" w:rsidP="00000000" w:rsidRDefault="00000000" w:rsidRPr="00000000" w14:paraId="00000054">
      <w:pPr>
        <w:spacing w:before="240" w:lineRule="auto"/>
        <w:ind w:left="2" w:hanging="2"/>
        <w:jc w:val="both"/>
        <w:rPr>
          <w:sz w:val="20"/>
          <w:szCs w:val="20"/>
        </w:rPr>
      </w:pPr>
      <w:r w:rsidDel="00000000" w:rsidR="00000000" w:rsidRPr="00000000">
        <w:rPr>
          <w:rtl w:val="0"/>
        </w:rPr>
      </w:r>
    </w:p>
    <w:tbl>
      <w:tblPr>
        <w:tblStyle w:val="Table5"/>
        <w:tblW w:w="3750.0" w:type="dxa"/>
        <w:jc w:val="center"/>
        <w:tblLayout w:type="fixed"/>
        <w:tblLook w:val="0400"/>
      </w:tblPr>
      <w:tblGrid>
        <w:gridCol w:w="1793"/>
        <w:gridCol w:w="938"/>
        <w:gridCol w:w="1019"/>
        <w:tblGridChange w:id="0">
          <w:tblGrid>
            <w:gridCol w:w="1793"/>
            <w:gridCol w:w="938"/>
            <w:gridCol w:w="1019"/>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5">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56">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57">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261"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before="240" w:lineRule="auto"/>
              <w:ind w:left="2" w:hanging="2"/>
              <w:jc w:val="center"/>
              <w:rPr>
                <w:color w:val="000000"/>
                <w:sz w:val="20"/>
                <w:szCs w:val="20"/>
              </w:rPr>
            </w:pPr>
            <w:r w:rsidDel="00000000" w:rsidR="00000000" w:rsidRPr="00000000">
              <w:rPr>
                <w:color w:val="000000"/>
                <w:sz w:val="20"/>
                <w:szCs w:val="20"/>
                <w:rtl w:val="0"/>
              </w:rPr>
              <w:t xml:space="preserve">Propiedad Industrial Patente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9">
            <w:pPr>
              <w:spacing w:before="240" w:lineRule="auto"/>
              <w:ind w:left="2" w:hanging="2"/>
              <w:jc w:val="center"/>
              <w:rPr>
                <w:color w:val="000000"/>
                <w:sz w:val="20"/>
                <w:szCs w:val="20"/>
              </w:rPr>
            </w:pPr>
            <w:r w:rsidDel="00000000" w:rsidR="00000000" w:rsidRPr="00000000">
              <w:rPr>
                <w:color w:val="000000"/>
                <w:sz w:val="20"/>
                <w:szCs w:val="20"/>
                <w:rtl w:val="0"/>
              </w:rPr>
              <w:t xml:space="preserve">4.500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A">
            <w:pPr>
              <w:spacing w:before="240" w:lineRule="auto"/>
              <w:ind w:left="2" w:hanging="2"/>
              <w:jc w:val="center"/>
              <w:rPr>
                <w:color w:val="000000"/>
                <w:sz w:val="20"/>
                <w:szCs w:val="20"/>
              </w:rPr>
            </w:pPr>
            <w:r w:rsidDel="00000000" w:rsidR="00000000" w:rsidRPr="00000000">
              <w:rPr>
                <w:rtl w:val="0"/>
              </w:rPr>
            </w:r>
          </w:p>
        </w:tc>
      </w:tr>
      <w:tr>
        <w:trPr>
          <w:trHeight w:val="261"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before="240" w:lineRule="auto"/>
              <w:ind w:left="2" w:hanging="2"/>
              <w:jc w:val="center"/>
              <w:rPr>
                <w:color w:val="000000"/>
                <w:sz w:val="20"/>
                <w:szCs w:val="20"/>
              </w:rPr>
            </w:pPr>
            <w:r w:rsidDel="00000000" w:rsidR="00000000" w:rsidRPr="00000000">
              <w:rPr>
                <w:color w:val="000000"/>
                <w:sz w:val="20"/>
                <w:szCs w:val="20"/>
                <w:rtl w:val="0"/>
              </w:rPr>
              <w:t xml:space="preserve">Propiedad Industrial Patente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C">
            <w:pPr>
              <w:spacing w:before="240" w:lineRule="auto"/>
              <w:ind w:left="2" w:hanging="2"/>
              <w:jc w:val="center"/>
              <w:rPr>
                <w:color w:val="000000"/>
                <w:sz w:val="20"/>
                <w:szCs w:val="20"/>
              </w:rPr>
            </w:pPr>
            <w:r w:rsidDel="00000000" w:rsidR="00000000" w:rsidRPr="00000000">
              <w:rPr>
                <w:color w:val="000000"/>
                <w:sz w:val="20"/>
                <w:szCs w:val="20"/>
                <w:rtl w:val="0"/>
              </w:rPr>
              <w:t xml:space="preserve">2.500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D">
            <w:pPr>
              <w:spacing w:before="240" w:lineRule="auto"/>
              <w:ind w:left="2" w:hanging="2"/>
              <w:jc w:val="center"/>
              <w:rPr>
                <w:color w:val="000000"/>
                <w:sz w:val="20"/>
                <w:szCs w:val="20"/>
              </w:rPr>
            </w:pPr>
            <w:r w:rsidDel="00000000" w:rsidR="00000000" w:rsidRPr="00000000">
              <w:rPr>
                <w:rtl w:val="0"/>
              </w:rPr>
            </w:r>
          </w:p>
        </w:tc>
      </w:tr>
      <w:tr>
        <w:trPr>
          <w:trHeight w:val="261"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before="240" w:lineRule="auto"/>
              <w:ind w:left="2" w:hanging="2"/>
              <w:jc w:val="center"/>
              <w:rPr>
                <w:color w:val="000000"/>
                <w:sz w:val="20"/>
                <w:szCs w:val="20"/>
              </w:rPr>
            </w:pPr>
            <w:r w:rsidDel="00000000" w:rsidR="00000000" w:rsidRPr="00000000">
              <w:rPr>
                <w:color w:val="000000"/>
                <w:sz w:val="20"/>
                <w:szCs w:val="20"/>
                <w:rtl w:val="0"/>
              </w:rPr>
              <w:t xml:space="preserve">Costos y Gastos por pagar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F">
            <w:pPr>
              <w:spacing w:before="240" w:lineRule="auto"/>
              <w:ind w:left="2" w:hanging="2"/>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0">
            <w:pPr>
              <w:spacing w:before="240" w:lineRule="auto"/>
              <w:ind w:left="2" w:hanging="2"/>
              <w:jc w:val="center"/>
              <w:rPr>
                <w:color w:val="000000"/>
                <w:sz w:val="20"/>
                <w:szCs w:val="20"/>
              </w:rPr>
            </w:pPr>
            <w:r w:rsidDel="00000000" w:rsidR="00000000" w:rsidRPr="00000000">
              <w:rPr>
                <w:color w:val="000000"/>
                <w:sz w:val="20"/>
                <w:szCs w:val="20"/>
                <w:rtl w:val="0"/>
              </w:rPr>
              <w:t xml:space="preserve">7.000.0</w:t>
            </w:r>
          </w:p>
        </w:tc>
      </w:tr>
    </w:tbl>
    <w:p w:rsidR="00000000" w:rsidDel="00000000" w:rsidP="00000000" w:rsidRDefault="00000000" w:rsidRPr="00000000" w14:paraId="00000061">
      <w:pPr>
        <w:shd w:fill="ffffff" w:val="clear"/>
        <w:spacing w:before="240" w:lineRule="auto"/>
        <w:ind w:left="2" w:hanging="2"/>
        <w:jc w:val="center"/>
        <w:rPr>
          <w:b w:val="1"/>
          <w:color w:val="000000"/>
          <w:sz w:val="20"/>
          <w:szCs w:val="20"/>
        </w:rPr>
      </w:pPr>
      <w:r w:rsidDel="00000000" w:rsidR="00000000" w:rsidRPr="00000000">
        <w:rPr>
          <w:rtl w:val="0"/>
        </w:rPr>
      </w:r>
    </w:p>
    <w:p w:rsidR="00000000" w:rsidDel="00000000" w:rsidP="00000000" w:rsidRDefault="00000000" w:rsidRPr="00000000" w14:paraId="00000062">
      <w:pPr>
        <w:shd w:fill="ffffff" w:val="clear"/>
        <w:spacing w:before="240" w:lineRule="auto"/>
        <w:ind w:left="2" w:hanging="2"/>
        <w:jc w:val="center"/>
        <w:rPr>
          <w:b w:val="1"/>
          <w:color w:val="000000"/>
          <w:sz w:val="20"/>
          <w:szCs w:val="20"/>
        </w:rPr>
      </w:pPr>
      <w:r w:rsidDel="00000000" w:rsidR="00000000" w:rsidRPr="00000000">
        <w:rPr>
          <w:rtl w:val="0"/>
        </w:rPr>
      </w:r>
    </w:p>
    <w:p w:rsidR="00000000" w:rsidDel="00000000" w:rsidP="00000000" w:rsidRDefault="00000000" w:rsidRPr="00000000" w14:paraId="00000063">
      <w:pPr>
        <w:shd w:fill="ffffff" w:val="clear"/>
        <w:spacing w:before="240" w:lineRule="auto"/>
        <w:ind w:left="2" w:hanging="2"/>
        <w:jc w:val="center"/>
        <w:rPr>
          <w:b w:val="1"/>
          <w:color w:val="000000"/>
          <w:sz w:val="20"/>
          <w:szCs w:val="20"/>
        </w:rPr>
      </w:pPr>
      <w:r w:rsidDel="00000000" w:rsidR="00000000" w:rsidRPr="00000000">
        <w:rPr>
          <w:b w:val="1"/>
          <w:color w:val="000000"/>
          <w:sz w:val="20"/>
          <w:szCs w:val="20"/>
          <w:rtl w:val="0"/>
        </w:rPr>
        <w:t xml:space="preserve">Pago</w:t>
      </w:r>
    </w:p>
    <w:tbl>
      <w:tblPr>
        <w:tblStyle w:val="Table6"/>
        <w:tblW w:w="3750.0" w:type="dxa"/>
        <w:jc w:val="center"/>
        <w:tblLayout w:type="fixed"/>
        <w:tblLook w:val="0400"/>
      </w:tblPr>
      <w:tblGrid>
        <w:gridCol w:w="1980"/>
        <w:gridCol w:w="905"/>
        <w:gridCol w:w="865"/>
        <w:tblGridChange w:id="0">
          <w:tblGrid>
            <w:gridCol w:w="1980"/>
            <w:gridCol w:w="905"/>
            <w:gridCol w:w="865"/>
          </w:tblGrid>
        </w:tblGridChange>
      </w:tblGrid>
      <w:tr>
        <w:trPr>
          <w:trHeight w:val="26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4">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65">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66">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262"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7">
            <w:pPr>
              <w:spacing w:before="240" w:lineRule="auto"/>
              <w:ind w:left="2" w:hanging="2"/>
              <w:jc w:val="center"/>
              <w:rPr>
                <w:color w:val="000000"/>
                <w:sz w:val="20"/>
                <w:szCs w:val="20"/>
              </w:rPr>
            </w:pPr>
            <w:r w:rsidDel="00000000" w:rsidR="00000000" w:rsidRPr="00000000">
              <w:rPr>
                <w:color w:val="000000"/>
                <w:sz w:val="20"/>
                <w:szCs w:val="20"/>
                <w:rtl w:val="0"/>
              </w:rPr>
              <w:t xml:space="preserve">Costos y Gastos por pagar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8">
            <w:pPr>
              <w:spacing w:before="240" w:lineRule="auto"/>
              <w:ind w:left="2" w:hanging="2"/>
              <w:rPr>
                <w:color w:val="000000"/>
                <w:sz w:val="20"/>
                <w:szCs w:val="20"/>
              </w:rPr>
            </w:pPr>
            <w:r w:rsidDel="00000000" w:rsidR="00000000" w:rsidRPr="00000000">
              <w:rPr>
                <w:color w:val="000000"/>
                <w:sz w:val="20"/>
                <w:szCs w:val="20"/>
                <w:rtl w:val="0"/>
              </w:rPr>
              <w:t xml:space="preserve">7.000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9">
            <w:pPr>
              <w:spacing w:before="240" w:lineRule="auto"/>
              <w:ind w:left="2" w:hanging="2"/>
              <w:rPr>
                <w:color w:val="000000"/>
                <w:sz w:val="20"/>
                <w:szCs w:val="20"/>
              </w:rPr>
            </w:pPr>
            <w:r w:rsidDel="00000000" w:rsidR="00000000" w:rsidRPr="00000000">
              <w:rPr>
                <w:rtl w:val="0"/>
              </w:rPr>
            </w:r>
          </w:p>
        </w:tc>
      </w:tr>
      <w:tr>
        <w:trPr>
          <w:trHeight w:val="262"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A">
            <w:pPr>
              <w:spacing w:before="240" w:lineRule="auto"/>
              <w:ind w:left="2" w:hanging="2"/>
              <w:jc w:val="center"/>
              <w:rPr>
                <w:color w:val="000000"/>
                <w:sz w:val="20"/>
                <w:szCs w:val="20"/>
              </w:rPr>
            </w:pPr>
            <w:r w:rsidDel="00000000" w:rsidR="00000000" w:rsidRPr="00000000">
              <w:rPr>
                <w:color w:val="000000"/>
                <w:sz w:val="20"/>
                <w:szCs w:val="20"/>
                <w:rtl w:val="0"/>
              </w:rPr>
              <w:t xml:space="preserve">Efectivo y Equivalentes a Efectivo- Bancos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B">
            <w:pPr>
              <w:spacing w:before="240" w:lineRule="auto"/>
              <w:ind w:left="2" w:hanging="2"/>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C">
            <w:pPr>
              <w:spacing w:before="240" w:lineRule="auto"/>
              <w:ind w:left="2" w:hanging="2"/>
              <w:rPr>
                <w:color w:val="000000"/>
                <w:sz w:val="20"/>
                <w:szCs w:val="20"/>
              </w:rPr>
            </w:pPr>
            <w:r w:rsidDel="00000000" w:rsidR="00000000" w:rsidRPr="00000000">
              <w:rPr>
                <w:color w:val="000000"/>
                <w:sz w:val="20"/>
                <w:szCs w:val="20"/>
                <w:rtl w:val="0"/>
              </w:rPr>
              <w:t xml:space="preserve">7.000</w:t>
            </w:r>
          </w:p>
        </w:tc>
      </w:tr>
    </w:tbl>
    <w:p w:rsidR="00000000" w:rsidDel="00000000" w:rsidP="00000000" w:rsidRDefault="00000000" w:rsidRPr="00000000" w14:paraId="0000006D">
      <w:pPr>
        <w:shd w:fill="ffffff" w:val="clear"/>
        <w:spacing w:before="240" w:lineRule="auto"/>
        <w:ind w:left="2" w:hanging="2"/>
        <w:jc w:val="both"/>
        <w:rPr>
          <w:sz w:val="20"/>
          <w:szCs w:val="20"/>
        </w:rPr>
      </w:pPr>
      <w:r w:rsidDel="00000000" w:rsidR="00000000" w:rsidRPr="00000000">
        <w:rPr>
          <w:rtl w:val="0"/>
        </w:rPr>
      </w:r>
    </w:p>
    <w:p w:rsidR="00000000" w:rsidDel="00000000" w:rsidP="00000000" w:rsidRDefault="00000000" w:rsidRPr="00000000" w14:paraId="0000006E">
      <w:pPr>
        <w:shd w:fill="ffffff" w:val="clear"/>
        <w:spacing w:before="240" w:lineRule="auto"/>
        <w:ind w:left="2" w:hanging="2"/>
        <w:jc w:val="both"/>
        <w:rPr>
          <w:sz w:val="20"/>
          <w:szCs w:val="20"/>
        </w:rPr>
      </w:pPr>
      <w:r w:rsidDel="00000000" w:rsidR="00000000" w:rsidRPr="00000000">
        <w:rPr>
          <w:sz w:val="20"/>
          <w:szCs w:val="20"/>
          <w:rtl w:val="0"/>
        </w:rPr>
        <w:t xml:space="preserve">2. Diciembre 31 del año  20X1, se registra la amortización del activo con vida útil definida</w:t>
      </w:r>
    </w:p>
    <w:p w:rsidR="00000000" w:rsidDel="00000000" w:rsidP="00000000" w:rsidRDefault="00000000" w:rsidRPr="00000000" w14:paraId="0000006F">
      <w:pPr>
        <w:shd w:fill="ffffff" w:val="clear"/>
        <w:spacing w:before="240" w:lineRule="auto"/>
        <w:ind w:left="2" w:hanging="2"/>
        <w:jc w:val="center"/>
        <w:rPr>
          <w:b w:val="1"/>
          <w:color w:val="000000"/>
          <w:sz w:val="20"/>
          <w:szCs w:val="20"/>
        </w:rPr>
      </w:pPr>
      <w:r w:rsidDel="00000000" w:rsidR="00000000" w:rsidRPr="00000000">
        <w:rPr>
          <w:b w:val="1"/>
          <w:color w:val="000000"/>
          <w:sz w:val="20"/>
          <w:szCs w:val="20"/>
          <w:rtl w:val="0"/>
        </w:rPr>
        <w:t xml:space="preserve">Amortización Intangible</w:t>
      </w:r>
    </w:p>
    <w:tbl>
      <w:tblPr>
        <w:tblStyle w:val="Table7"/>
        <w:tblW w:w="5026.0" w:type="dxa"/>
        <w:jc w:val="center"/>
        <w:tblLayout w:type="fixed"/>
        <w:tblLook w:val="0400"/>
      </w:tblPr>
      <w:tblGrid>
        <w:gridCol w:w="3272"/>
        <w:gridCol w:w="902"/>
        <w:gridCol w:w="852"/>
        <w:tblGridChange w:id="0">
          <w:tblGrid>
            <w:gridCol w:w="3272"/>
            <w:gridCol w:w="902"/>
            <w:gridCol w:w="852"/>
          </w:tblGrid>
        </w:tblGridChange>
      </w:tblGrid>
      <w:tr>
        <w:trPr>
          <w:trHeight w:val="257"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0">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71">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72">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611"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3">
            <w:pPr>
              <w:spacing w:before="240" w:lineRule="auto"/>
              <w:ind w:left="2" w:hanging="2"/>
              <w:jc w:val="center"/>
              <w:rPr>
                <w:color w:val="000000"/>
                <w:sz w:val="20"/>
                <w:szCs w:val="20"/>
              </w:rPr>
            </w:pPr>
            <w:r w:rsidDel="00000000" w:rsidR="00000000" w:rsidRPr="00000000">
              <w:rPr>
                <w:color w:val="000000"/>
                <w:sz w:val="20"/>
                <w:szCs w:val="20"/>
                <w:rtl w:val="0"/>
              </w:rPr>
              <w:t xml:space="preserve">Gastos Amortización Propiedad Industrial Patente(4500/4)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4">
            <w:pPr>
              <w:spacing w:before="240" w:lineRule="auto"/>
              <w:ind w:left="2" w:hanging="2"/>
              <w:rPr>
                <w:color w:val="000000"/>
                <w:sz w:val="20"/>
                <w:szCs w:val="20"/>
              </w:rPr>
            </w:pPr>
            <w:r w:rsidDel="00000000" w:rsidR="00000000" w:rsidRPr="00000000">
              <w:rPr>
                <w:color w:val="000000"/>
                <w:sz w:val="20"/>
                <w:szCs w:val="20"/>
                <w:rtl w:val="0"/>
              </w:rPr>
              <w:t xml:space="preserve"> 1.125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5">
            <w:pPr>
              <w:spacing w:before="240" w:lineRule="auto"/>
              <w:ind w:left="2" w:hanging="2"/>
              <w:rPr>
                <w:color w:val="000000"/>
                <w:sz w:val="20"/>
                <w:szCs w:val="20"/>
              </w:rPr>
            </w:pPr>
            <w:r w:rsidDel="00000000" w:rsidR="00000000" w:rsidRPr="00000000">
              <w:rPr>
                <w:color w:val="000000"/>
                <w:sz w:val="20"/>
                <w:szCs w:val="20"/>
                <w:rtl w:val="0"/>
              </w:rPr>
              <w:t xml:space="preserve"> </w:t>
            </w:r>
          </w:p>
        </w:tc>
      </w:tr>
      <w:tr>
        <w:trPr>
          <w:trHeight w:val="397"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before="240" w:lineRule="auto"/>
              <w:ind w:left="2" w:hanging="2"/>
              <w:jc w:val="center"/>
              <w:rPr>
                <w:color w:val="000000"/>
                <w:sz w:val="20"/>
                <w:szCs w:val="20"/>
              </w:rPr>
            </w:pPr>
            <w:r w:rsidDel="00000000" w:rsidR="00000000" w:rsidRPr="00000000">
              <w:rPr>
                <w:color w:val="000000"/>
                <w:sz w:val="20"/>
                <w:szCs w:val="20"/>
                <w:rtl w:val="0"/>
              </w:rPr>
              <w:t xml:space="preserve">Efectivo y Equivalentes a Efectivo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7">
            <w:pPr>
              <w:spacing w:before="240" w:lineRule="auto"/>
              <w:ind w:left="2" w:hanging="2"/>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8">
            <w:pPr>
              <w:spacing w:before="240" w:lineRule="auto"/>
              <w:ind w:left="2" w:hanging="2"/>
              <w:rPr>
                <w:color w:val="000000"/>
                <w:sz w:val="20"/>
                <w:szCs w:val="20"/>
              </w:rPr>
            </w:pPr>
            <w:r w:rsidDel="00000000" w:rsidR="00000000" w:rsidRPr="00000000">
              <w:rPr>
                <w:color w:val="000000"/>
                <w:sz w:val="20"/>
                <w:szCs w:val="20"/>
                <w:rtl w:val="0"/>
              </w:rPr>
              <w:t xml:space="preserve"> 1.125 </w:t>
            </w:r>
          </w:p>
        </w:tc>
      </w:tr>
    </w:tbl>
    <w:p w:rsidR="00000000" w:rsidDel="00000000" w:rsidP="00000000" w:rsidRDefault="00000000" w:rsidRPr="00000000" w14:paraId="00000079">
      <w:pPr>
        <w:shd w:fill="ffffff" w:val="clear"/>
        <w:spacing w:before="240" w:lineRule="auto"/>
        <w:ind w:left="2" w:hanging="2"/>
        <w:jc w:val="both"/>
        <w:rPr>
          <w:sz w:val="20"/>
          <w:szCs w:val="20"/>
          <w:vertAlign w:val="baseline"/>
        </w:rPr>
      </w:pPr>
      <w:r w:rsidDel="00000000" w:rsidR="00000000" w:rsidRPr="00000000">
        <w:rPr>
          <w:b w:val="1"/>
          <w:sz w:val="20"/>
          <w:szCs w:val="20"/>
          <w:rtl w:val="0"/>
        </w:rPr>
        <w:t xml:space="preserve">Nota</w:t>
      </w:r>
      <w:r w:rsidDel="00000000" w:rsidR="00000000" w:rsidRPr="00000000">
        <w:rPr>
          <w:sz w:val="20"/>
          <w:szCs w:val="20"/>
          <w:rtl w:val="0"/>
        </w:rPr>
        <w:t xml:space="preserve">: de la misma forma aplica para el año 20X2 y sucesivos.</w:t>
      </w:r>
      <w:r w:rsidDel="00000000" w:rsidR="00000000" w:rsidRPr="00000000">
        <w:rPr>
          <w:rtl w:val="0"/>
        </w:rPr>
      </w:r>
    </w:p>
    <w:p w:rsidR="00000000" w:rsidDel="00000000" w:rsidP="00000000" w:rsidRDefault="00000000" w:rsidRPr="00000000" w14:paraId="0000007A">
      <w:pPr>
        <w:shd w:fill="ffffff" w:val="clear"/>
        <w:spacing w:before="240" w:lineRule="auto"/>
        <w:ind w:left="2" w:hanging="2"/>
        <w:jc w:val="both"/>
        <w:rPr>
          <w:sz w:val="20"/>
          <w:szCs w:val="20"/>
        </w:rPr>
      </w:pPr>
      <w:r w:rsidDel="00000000" w:rsidR="00000000" w:rsidRPr="00000000">
        <w:rPr>
          <w:sz w:val="20"/>
          <w:szCs w:val="20"/>
          <w:rtl w:val="0"/>
        </w:rPr>
        <w:t xml:space="preserve">3.A 1 de enero del año 20X3, se registra el deterioro que ha sufrido la marca correspondiente al 30% .</w:t>
      </w:r>
    </w:p>
    <w:p w:rsidR="00000000" w:rsidDel="00000000" w:rsidP="00000000" w:rsidRDefault="00000000" w:rsidRPr="00000000" w14:paraId="0000007B">
      <w:pPr>
        <w:spacing w:before="240" w:lineRule="auto"/>
        <w:ind w:left="2" w:hanging="2"/>
        <w:jc w:val="center"/>
        <w:rPr>
          <w:b w:val="1"/>
          <w:color w:val="000000"/>
          <w:sz w:val="20"/>
          <w:szCs w:val="20"/>
        </w:rPr>
      </w:pPr>
      <w:r w:rsidDel="00000000" w:rsidR="00000000" w:rsidRPr="00000000">
        <w:rPr>
          <w:b w:val="1"/>
          <w:color w:val="000000"/>
          <w:sz w:val="20"/>
          <w:szCs w:val="20"/>
          <w:rtl w:val="0"/>
        </w:rPr>
        <w:t xml:space="preserve">Deterioro</w:t>
      </w:r>
    </w:p>
    <w:tbl>
      <w:tblPr>
        <w:tblStyle w:val="Table8"/>
        <w:tblW w:w="4962.0" w:type="dxa"/>
        <w:jc w:val="center"/>
        <w:tblLayout w:type="fixed"/>
        <w:tblLook w:val="0400"/>
      </w:tblPr>
      <w:tblGrid>
        <w:gridCol w:w="2749"/>
        <w:gridCol w:w="1220"/>
        <w:gridCol w:w="993"/>
        <w:tblGridChange w:id="0">
          <w:tblGrid>
            <w:gridCol w:w="2749"/>
            <w:gridCol w:w="1220"/>
            <w:gridCol w:w="993"/>
          </w:tblGrid>
        </w:tblGridChange>
      </w:tblGrid>
      <w:tr>
        <w:trPr>
          <w:trHeight w:val="268"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C">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7D">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7E">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26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F">
            <w:pPr>
              <w:spacing w:before="240" w:lineRule="auto"/>
              <w:ind w:left="2" w:hanging="2"/>
              <w:jc w:val="both"/>
              <w:rPr>
                <w:color w:val="000000"/>
                <w:sz w:val="20"/>
                <w:szCs w:val="20"/>
              </w:rPr>
            </w:pPr>
            <w:r w:rsidDel="00000000" w:rsidR="00000000" w:rsidRPr="00000000">
              <w:rPr>
                <w:sz w:val="20"/>
                <w:szCs w:val="20"/>
                <w:rtl w:val="0"/>
              </w:rPr>
              <w:t xml:space="preserve">Pérdidas</w:t>
            </w:r>
            <w:r w:rsidDel="00000000" w:rsidR="00000000" w:rsidRPr="00000000">
              <w:rPr>
                <w:color w:val="000000"/>
                <w:sz w:val="20"/>
                <w:szCs w:val="20"/>
                <w:rtl w:val="0"/>
              </w:rPr>
              <w:t xml:space="preserve"> por deterioro del activo Intangible(2500*0.3)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0">
            <w:pPr>
              <w:spacing w:before="240" w:lineRule="auto"/>
              <w:ind w:left="2" w:hanging="2"/>
              <w:rPr>
                <w:color w:val="000000"/>
                <w:sz w:val="20"/>
                <w:szCs w:val="20"/>
              </w:rPr>
            </w:pPr>
            <w:r w:rsidDel="00000000" w:rsidR="00000000" w:rsidRPr="00000000">
              <w:rPr>
                <w:color w:val="000000"/>
                <w:sz w:val="20"/>
                <w:szCs w:val="20"/>
                <w:rtl w:val="0"/>
              </w:rPr>
              <w:t xml:space="preserve">            750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1">
            <w:pPr>
              <w:spacing w:before="240" w:lineRule="auto"/>
              <w:ind w:left="2" w:hanging="2"/>
              <w:rPr>
                <w:color w:val="000000"/>
                <w:sz w:val="20"/>
                <w:szCs w:val="20"/>
              </w:rPr>
            </w:pPr>
            <w:r w:rsidDel="00000000" w:rsidR="00000000" w:rsidRPr="00000000">
              <w:rPr>
                <w:color w:val="000000"/>
                <w:sz w:val="20"/>
                <w:szCs w:val="20"/>
                <w:rtl w:val="0"/>
              </w:rPr>
              <w:t xml:space="preserve"> </w:t>
            </w:r>
          </w:p>
        </w:tc>
      </w:tr>
      <w:tr>
        <w:trPr>
          <w:trHeight w:val="26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2">
            <w:pPr>
              <w:spacing w:before="240" w:lineRule="auto"/>
              <w:ind w:left="2" w:hanging="2"/>
              <w:jc w:val="both"/>
              <w:rPr>
                <w:color w:val="000000"/>
                <w:sz w:val="20"/>
                <w:szCs w:val="20"/>
              </w:rPr>
            </w:pPr>
            <w:r w:rsidDel="00000000" w:rsidR="00000000" w:rsidRPr="00000000">
              <w:rPr>
                <w:sz w:val="20"/>
                <w:szCs w:val="20"/>
                <w:rtl w:val="0"/>
              </w:rPr>
              <w:t xml:space="preserve">Deterioro</w:t>
            </w:r>
            <w:r w:rsidDel="00000000" w:rsidR="00000000" w:rsidRPr="00000000">
              <w:rPr>
                <w:color w:val="000000"/>
                <w:sz w:val="20"/>
                <w:szCs w:val="20"/>
                <w:rtl w:val="0"/>
              </w:rPr>
              <w:t xml:space="preserve"> de valor de Propiedad Industrial Marcas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3">
            <w:pPr>
              <w:spacing w:before="240" w:lineRule="auto"/>
              <w:ind w:left="2" w:hanging="2"/>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4">
            <w:pPr>
              <w:spacing w:before="240" w:lineRule="auto"/>
              <w:ind w:left="2" w:hanging="2"/>
              <w:rPr>
                <w:color w:val="000000"/>
                <w:sz w:val="20"/>
                <w:szCs w:val="20"/>
              </w:rPr>
            </w:pPr>
            <w:r w:rsidDel="00000000" w:rsidR="00000000" w:rsidRPr="00000000">
              <w:rPr>
                <w:color w:val="000000"/>
                <w:sz w:val="20"/>
                <w:szCs w:val="20"/>
                <w:rtl w:val="0"/>
              </w:rPr>
              <w:t xml:space="preserve">       750 </w:t>
            </w:r>
          </w:p>
        </w:tc>
      </w:tr>
    </w:tbl>
    <w:p w:rsidR="00000000" w:rsidDel="00000000" w:rsidP="00000000" w:rsidRDefault="00000000" w:rsidRPr="00000000" w14:paraId="00000085">
      <w:pPr>
        <w:spacing w:before="240" w:lineRule="auto"/>
        <w:ind w:left="2" w:hanging="2"/>
        <w:rPr>
          <w:color w:val="000000"/>
          <w:sz w:val="20"/>
          <w:szCs w:val="20"/>
        </w:rPr>
      </w:pPr>
      <w:r w:rsidDel="00000000" w:rsidR="00000000" w:rsidRPr="00000000">
        <w:rPr>
          <w:i w:val="1"/>
          <w:color w:val="000000"/>
          <w:sz w:val="20"/>
          <w:szCs w:val="20"/>
          <w:rtl w:val="0"/>
        </w:rPr>
        <w:t xml:space="preserve">Nota: se considera su valor en libros teniendo en cuenta el deterioro que ha sufrido el intangible</w:t>
      </w:r>
      <w:r w:rsidDel="00000000" w:rsidR="00000000" w:rsidRPr="00000000">
        <w:rPr>
          <w:color w:val="000000"/>
          <w:sz w:val="20"/>
          <w:szCs w:val="20"/>
          <w:rtl w:val="0"/>
        </w:rPr>
        <w:t xml:space="preserve">.</w:t>
      </w:r>
    </w:p>
    <w:p w:rsidR="00000000" w:rsidDel="00000000" w:rsidP="00000000" w:rsidRDefault="00000000" w:rsidRPr="00000000" w14:paraId="00000086">
      <w:pPr>
        <w:shd w:fill="ffffff" w:val="clear"/>
        <w:spacing w:before="240" w:lineRule="auto"/>
        <w:rPr>
          <w:b w:val="1"/>
          <w:sz w:val="20"/>
          <w:szCs w:val="20"/>
        </w:rPr>
      </w:pPr>
      <w:r w:rsidDel="00000000" w:rsidR="00000000" w:rsidRPr="00000000">
        <w:rPr>
          <w:b w:val="1"/>
          <w:sz w:val="20"/>
          <w:szCs w:val="20"/>
          <w:rtl w:val="0"/>
        </w:rPr>
        <w:t xml:space="preserve">Periodo y Método de Amortización</w:t>
      </w:r>
    </w:p>
    <w:p w:rsidR="00000000" w:rsidDel="00000000" w:rsidP="00000000" w:rsidRDefault="00000000" w:rsidRPr="00000000" w14:paraId="00000087">
      <w:pPr>
        <w:shd w:fill="ffffff" w:val="clear"/>
        <w:spacing w:befor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De acuerdo con el ejercicio anterior, la amortización es la distribución sistémica a lo largo de la vida útil de un activo con vida útil finita, es decir, se debe dividir el valor total del año en doce meses para poder registrar el valor correspondiente a cada mes.</w:t>
      </w:r>
    </w:p>
    <w:p w:rsidR="00000000" w:rsidDel="00000000" w:rsidP="00000000" w:rsidRDefault="00000000" w:rsidRPr="00000000" w14:paraId="00000088">
      <w:pPr>
        <w:shd w:fill="ffffff" w:val="clear"/>
        <w:spacing w:before="240" w:lineRule="auto"/>
        <w:rPr>
          <w:sz w:val="20"/>
          <w:szCs w:val="20"/>
        </w:rPr>
      </w:pPr>
      <w:r w:rsidDel="00000000" w:rsidR="00000000" w:rsidRPr="00000000">
        <w:rPr>
          <w:rtl w:val="0"/>
        </w:rPr>
      </w:r>
    </w:p>
    <w:p w:rsidR="00000000" w:rsidDel="00000000" w:rsidP="00000000" w:rsidRDefault="00000000" w:rsidRPr="00000000" w14:paraId="00000089">
      <w:pPr>
        <w:shd w:fill="ffffff" w:val="clear"/>
        <w:spacing w:before="240" w:lineRule="auto"/>
        <w:rPr>
          <w:sz w:val="20"/>
          <w:szCs w:val="20"/>
        </w:rPr>
      </w:pPr>
      <w:r w:rsidDel="00000000" w:rsidR="00000000" w:rsidRPr="00000000">
        <w:rPr>
          <w:rtl w:val="0"/>
        </w:rPr>
      </w:r>
    </w:p>
    <w:tbl>
      <w:tblPr>
        <w:tblStyle w:val="Table9"/>
        <w:tblW w:w="5386.999999999999" w:type="dxa"/>
        <w:jc w:val="center"/>
        <w:tblLayout w:type="fixed"/>
        <w:tblLook w:val="0400"/>
      </w:tblPr>
      <w:tblGrid>
        <w:gridCol w:w="2747"/>
        <w:gridCol w:w="1081"/>
        <w:gridCol w:w="1559"/>
        <w:tblGridChange w:id="0">
          <w:tblGrid>
            <w:gridCol w:w="2747"/>
            <w:gridCol w:w="1081"/>
            <w:gridCol w:w="1559"/>
          </w:tblGrid>
        </w:tblGridChange>
      </w:tblGrid>
      <w:tr>
        <w:trPr>
          <w:trHeight w:val="325" w:hRule="atLeast"/>
        </w:trPr>
        <w:tc>
          <w:tcPr>
            <w:gridSpan w:val="3"/>
          </w:tcPr>
          <w:p w:rsidR="00000000" w:rsidDel="00000000" w:rsidP="00000000" w:rsidRDefault="00000000" w:rsidRPr="00000000" w14:paraId="0000008A">
            <w:pPr>
              <w:spacing w:before="240" w:lineRule="auto"/>
              <w:ind w:left="2" w:hanging="2"/>
              <w:jc w:val="center"/>
              <w:rPr>
                <w:b w:val="1"/>
                <w:color w:val="000000"/>
                <w:sz w:val="20"/>
                <w:szCs w:val="20"/>
              </w:rPr>
            </w:pPr>
            <w:r w:rsidDel="00000000" w:rsidR="00000000" w:rsidRPr="00000000">
              <w:rPr>
                <w:b w:val="1"/>
                <w:color w:val="000000"/>
                <w:sz w:val="20"/>
                <w:szCs w:val="20"/>
                <w:rtl w:val="0"/>
              </w:rPr>
              <w:t xml:space="preserve">Amortización Intangible- Patente -mensual (4 años)</w:t>
            </w:r>
          </w:p>
        </w:tc>
      </w:tr>
      <w:tr>
        <w:trPr>
          <w:trHeight w:val="325"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8D">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8E">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8F">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32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0">
            <w:pPr>
              <w:spacing w:before="240" w:lineRule="auto"/>
              <w:ind w:left="2" w:hanging="2"/>
              <w:jc w:val="center"/>
              <w:rPr>
                <w:color w:val="000000"/>
                <w:sz w:val="20"/>
                <w:szCs w:val="20"/>
              </w:rPr>
            </w:pPr>
            <w:r w:rsidDel="00000000" w:rsidR="00000000" w:rsidRPr="00000000">
              <w:rPr>
                <w:color w:val="000000"/>
                <w:sz w:val="20"/>
                <w:szCs w:val="20"/>
                <w:rtl w:val="0"/>
              </w:rPr>
              <w:t xml:space="preserve">Gastos Amortización Propiedad Industrial Patente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1">
            <w:pPr>
              <w:spacing w:before="240" w:lineRule="auto"/>
              <w:ind w:left="2" w:hanging="2"/>
              <w:rPr>
                <w:color w:val="000000"/>
                <w:sz w:val="20"/>
                <w:szCs w:val="20"/>
              </w:rPr>
            </w:pPr>
            <w:r w:rsidDel="00000000" w:rsidR="00000000" w:rsidRPr="00000000">
              <w:rPr>
                <w:color w:val="000000"/>
                <w:sz w:val="20"/>
                <w:szCs w:val="20"/>
                <w:rtl w:val="0"/>
              </w:rPr>
              <w:t xml:space="preserve">     93,75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2">
            <w:pPr>
              <w:spacing w:before="240" w:lineRule="auto"/>
              <w:ind w:left="2" w:hanging="2"/>
              <w:rPr>
                <w:color w:val="000000"/>
                <w:sz w:val="20"/>
                <w:szCs w:val="20"/>
              </w:rPr>
            </w:pPr>
            <w:r w:rsidDel="00000000" w:rsidR="00000000" w:rsidRPr="00000000">
              <w:rPr>
                <w:color w:val="000000"/>
                <w:sz w:val="20"/>
                <w:szCs w:val="20"/>
                <w:rtl w:val="0"/>
              </w:rPr>
              <w:t xml:space="preserve"> </w:t>
            </w:r>
          </w:p>
        </w:tc>
      </w:tr>
      <w:tr>
        <w:trPr>
          <w:trHeight w:val="32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3">
            <w:pPr>
              <w:spacing w:before="240" w:lineRule="auto"/>
              <w:ind w:left="2" w:hanging="2"/>
              <w:jc w:val="center"/>
              <w:rPr>
                <w:color w:val="000000"/>
                <w:sz w:val="20"/>
                <w:szCs w:val="20"/>
              </w:rPr>
            </w:pPr>
            <w:r w:rsidDel="00000000" w:rsidR="00000000" w:rsidRPr="00000000">
              <w:rPr>
                <w:color w:val="000000"/>
                <w:sz w:val="20"/>
                <w:szCs w:val="20"/>
                <w:rtl w:val="0"/>
              </w:rPr>
              <w:t xml:space="preserve">Efectivo y Equivalentes a Efectivo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4">
            <w:pPr>
              <w:spacing w:before="240" w:lineRule="auto"/>
              <w:ind w:left="2" w:hanging="2"/>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5">
            <w:pPr>
              <w:spacing w:before="240" w:lineRule="auto"/>
              <w:ind w:left="2" w:hanging="2"/>
              <w:rPr>
                <w:color w:val="000000"/>
                <w:sz w:val="20"/>
                <w:szCs w:val="20"/>
              </w:rPr>
            </w:pPr>
            <w:r w:rsidDel="00000000" w:rsidR="00000000" w:rsidRPr="00000000">
              <w:rPr>
                <w:color w:val="000000"/>
                <w:sz w:val="20"/>
                <w:szCs w:val="20"/>
                <w:rtl w:val="0"/>
              </w:rPr>
              <w:t xml:space="preserve">               93,75 </w:t>
            </w:r>
          </w:p>
        </w:tc>
      </w:tr>
    </w:tbl>
    <w:p w:rsidR="00000000" w:rsidDel="00000000" w:rsidP="00000000" w:rsidRDefault="00000000" w:rsidRPr="00000000" w14:paraId="00000096">
      <w:pPr>
        <w:shd w:fill="ffffff" w:val="clear"/>
        <w:spacing w:before="240" w:lineRule="auto"/>
        <w:ind w:left="2" w:hanging="2"/>
        <w:jc w:val="both"/>
        <w:rPr>
          <w:sz w:val="20"/>
          <w:szCs w:val="20"/>
        </w:rPr>
      </w:pPr>
      <w:r w:rsidDel="00000000" w:rsidR="00000000" w:rsidRPr="00000000">
        <w:rPr>
          <w:sz w:val="20"/>
          <w:szCs w:val="20"/>
          <w:rtl w:val="0"/>
        </w:rPr>
        <w:t xml:space="preserve">Vale la pena recordar que, la amortización de los intangibles inicia cuando el activo esté a disposición y en condiciones de uso. </w:t>
      </w:r>
    </w:p>
    <w:p w:rsidR="00000000" w:rsidDel="00000000" w:rsidP="00000000" w:rsidRDefault="00000000" w:rsidRPr="00000000" w14:paraId="00000097">
      <w:pPr>
        <w:shd w:fill="ffffff" w:val="clear"/>
        <w:spacing w:before="240" w:lineRule="auto"/>
        <w:ind w:left="2" w:hanging="2"/>
        <w:jc w:val="both"/>
        <w:rPr>
          <w:sz w:val="20"/>
          <w:szCs w:val="20"/>
        </w:rPr>
      </w:pPr>
      <w:r w:rsidDel="00000000" w:rsidR="00000000" w:rsidRPr="00000000">
        <w:rPr>
          <w:sz w:val="20"/>
          <w:szCs w:val="20"/>
          <w:rtl w:val="0"/>
        </w:rPr>
        <w:t xml:space="preserve">El método de amortización utilizado refleja el patrón de agotamiento esperado, por parte de la entidad.  El cargo por amortización de cada período se reconocerá en el resultado del periodo, según indicaciones de la NIC 38.</w:t>
      </w:r>
    </w:p>
    <w:p w:rsidR="00000000" w:rsidDel="00000000" w:rsidP="00000000" w:rsidRDefault="00000000" w:rsidRPr="00000000" w14:paraId="00000098">
      <w:pPr>
        <w:shd w:fill="ffffff" w:val="clear"/>
        <w:spacing w:before="240" w:lineRule="auto"/>
        <w:jc w:val="both"/>
        <w:rPr>
          <w:b w:val="1"/>
          <w:sz w:val="20"/>
          <w:szCs w:val="20"/>
        </w:rPr>
      </w:pPr>
      <w:r w:rsidDel="00000000" w:rsidR="00000000" w:rsidRPr="00000000">
        <w:rPr>
          <w:b w:val="1"/>
          <w:sz w:val="20"/>
          <w:szCs w:val="20"/>
          <w:rtl w:val="0"/>
        </w:rPr>
        <w:t xml:space="preserve">Valor Razonable</w:t>
      </w:r>
    </w:p>
    <w:p w:rsidR="00000000" w:rsidDel="00000000" w:rsidP="00000000" w:rsidRDefault="00000000" w:rsidRPr="00000000" w14:paraId="00000099">
      <w:pPr>
        <w:shd w:fill="ffffff" w:val="clear"/>
        <w:spacing w:before="240" w:lineRule="auto"/>
        <w:jc w:val="both"/>
        <w:rPr>
          <w:b w:val="1"/>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Corresponde al precio que se recibirá por vender un activo o que se pagaría por transferir un pasivo en una transacción entre dos agentes o participantes en el mercado en el momento de la medición del activo. </w:t>
      </w:r>
      <w:r w:rsidDel="00000000" w:rsidR="00000000" w:rsidRPr="00000000">
        <w:rPr>
          <w:rtl w:val="0"/>
        </w:rPr>
      </w:r>
    </w:p>
    <w:p w:rsidR="00000000" w:rsidDel="00000000" w:rsidP="00000000" w:rsidRDefault="00000000" w:rsidRPr="00000000" w14:paraId="0000009A">
      <w:pPr>
        <w:shd w:fill="ffffff" w:val="clear"/>
        <w:spacing w:before="240" w:lineRule="auto"/>
        <w:ind w:left="2" w:hanging="2"/>
        <w:jc w:val="both"/>
        <w:rPr>
          <w:b w:val="1"/>
          <w:sz w:val="20"/>
          <w:szCs w:val="20"/>
        </w:rPr>
      </w:pPr>
      <w:r w:rsidDel="00000000" w:rsidR="00000000" w:rsidRPr="00000000">
        <w:rPr>
          <w:b w:val="1"/>
          <w:sz w:val="20"/>
          <w:szCs w:val="20"/>
          <w:rtl w:val="0"/>
        </w:rPr>
        <w:t xml:space="preserve">Por ejemplo:</w:t>
      </w:r>
    </w:p>
    <w:p w:rsidR="00000000" w:rsidDel="00000000" w:rsidP="00000000" w:rsidRDefault="00000000" w:rsidRPr="00000000" w14:paraId="0000009B">
      <w:pPr>
        <w:shd w:fill="ffffff" w:val="clear"/>
        <w:spacing w:before="240" w:lineRule="auto"/>
        <w:ind w:left="2" w:hanging="2"/>
        <w:jc w:val="both"/>
        <w:rPr>
          <w:sz w:val="20"/>
          <w:szCs w:val="20"/>
        </w:rPr>
      </w:pPr>
      <w:r w:rsidDel="00000000" w:rsidR="00000000" w:rsidRPr="00000000">
        <w:rPr>
          <w:sz w:val="20"/>
          <w:szCs w:val="20"/>
          <w:rtl w:val="0"/>
        </w:rPr>
        <w:t xml:space="preserve">Tomando el caso anterior se tiene, que el activo intangible “marcas”, de acuerdo con factores de mercado se determinó que, su valor razonable es de $1.750</w:t>
      </w:r>
    </w:p>
    <w:p w:rsidR="00000000" w:rsidDel="00000000" w:rsidP="00000000" w:rsidRDefault="00000000" w:rsidRPr="00000000" w14:paraId="0000009C">
      <w:pPr>
        <w:shd w:fill="ffffff" w:val="clear"/>
        <w:spacing w:before="240" w:lineRule="auto"/>
        <w:ind w:left="2" w:hanging="2"/>
        <w:jc w:val="both"/>
        <w:rPr>
          <w:sz w:val="20"/>
          <w:szCs w:val="20"/>
        </w:rPr>
      </w:pPr>
      <w:r w:rsidDel="00000000" w:rsidR="00000000" w:rsidRPr="00000000">
        <w:rPr>
          <w:sz w:val="20"/>
          <w:szCs w:val="20"/>
          <w:rtl w:val="0"/>
        </w:rPr>
        <w:t xml:space="preserve">Entonces:</w:t>
      </w:r>
    </w:p>
    <w:p w:rsidR="00000000" w:rsidDel="00000000" w:rsidP="00000000" w:rsidRDefault="00000000" w:rsidRPr="00000000" w14:paraId="0000009D">
      <w:pPr>
        <w:shd w:fill="ffffff" w:val="clear"/>
        <w:spacing w:before="240" w:lineRule="auto"/>
        <w:ind w:left="2" w:hanging="2"/>
        <w:jc w:val="both"/>
        <w:rPr>
          <w:sz w:val="20"/>
          <w:szCs w:val="20"/>
        </w:rPr>
      </w:pPr>
      <w:r w:rsidDel="00000000" w:rsidR="00000000" w:rsidRPr="00000000">
        <w:rPr>
          <w:sz w:val="20"/>
          <w:szCs w:val="20"/>
          <w:rtl w:val="0"/>
        </w:rPr>
        <w:t xml:space="preserve">Valor en libros…………$2.500</w:t>
      </w:r>
    </w:p>
    <w:p w:rsidR="00000000" w:rsidDel="00000000" w:rsidP="00000000" w:rsidRDefault="00000000" w:rsidRPr="00000000" w14:paraId="0000009E">
      <w:pPr>
        <w:shd w:fill="ffffff" w:val="clear"/>
        <w:spacing w:before="240" w:lineRule="auto"/>
        <w:ind w:left="2" w:hanging="2"/>
        <w:jc w:val="both"/>
        <w:rPr>
          <w:sz w:val="20"/>
          <w:szCs w:val="20"/>
        </w:rPr>
      </w:pPr>
      <w:r w:rsidDel="00000000" w:rsidR="00000000" w:rsidRPr="00000000">
        <w:rPr>
          <w:sz w:val="20"/>
          <w:szCs w:val="20"/>
          <w:rtl w:val="0"/>
        </w:rPr>
        <w:t xml:space="preserve">Valor razonable</w:t>
      </w:r>
      <w:r w:rsidDel="00000000" w:rsidR="00000000" w:rsidRPr="00000000">
        <w:rPr>
          <w:sz w:val="20"/>
          <w:szCs w:val="20"/>
          <w:u w:val="single"/>
          <w:rtl w:val="0"/>
        </w:rPr>
        <w:t xml:space="preserve">………..$1.750</w:t>
      </w:r>
      <w:r w:rsidDel="00000000" w:rsidR="00000000" w:rsidRPr="00000000">
        <w:rPr>
          <w:rtl w:val="0"/>
        </w:rPr>
      </w:r>
    </w:p>
    <w:p w:rsidR="00000000" w:rsidDel="00000000" w:rsidP="00000000" w:rsidRDefault="00000000" w:rsidRPr="00000000" w14:paraId="0000009F">
      <w:pPr>
        <w:spacing w:before="240" w:lineRule="auto"/>
        <w:jc w:val="both"/>
        <w:rPr>
          <w:b w:val="1"/>
          <w:sz w:val="20"/>
          <w:szCs w:val="20"/>
        </w:rPr>
      </w:pPr>
      <w:r w:rsidDel="00000000" w:rsidR="00000000" w:rsidRPr="00000000">
        <w:rPr>
          <w:b w:val="1"/>
          <w:sz w:val="20"/>
          <w:szCs w:val="20"/>
          <w:rtl w:val="0"/>
        </w:rPr>
        <w:t xml:space="preserve">Valor del deterioro ……...750</w:t>
      </w:r>
    </w:p>
    <w:p w:rsidR="00000000" w:rsidDel="00000000" w:rsidP="00000000" w:rsidRDefault="00000000" w:rsidRPr="00000000" w14:paraId="000000A0">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0A1">
      <w:pPr>
        <w:shd w:fill="ffffff" w:val="clear"/>
        <w:spacing w:before="240" w:lineRule="auto"/>
        <w:ind w:left="722" w:hanging="2.0000000000000284"/>
        <w:jc w:val="both"/>
        <w:rPr>
          <w:b w:val="1"/>
          <w:sz w:val="20"/>
          <w:szCs w:val="20"/>
        </w:rPr>
      </w:pPr>
      <w:r w:rsidDel="00000000" w:rsidR="00000000" w:rsidRPr="00000000">
        <w:rPr>
          <w:b w:val="1"/>
          <w:sz w:val="20"/>
          <w:szCs w:val="20"/>
          <w:rtl w:val="0"/>
        </w:rPr>
        <w:t xml:space="preserve">1.1.6. Política contable de intangibles</w:t>
      </w:r>
    </w:p>
    <w:p w:rsidR="00000000" w:rsidDel="00000000" w:rsidP="00000000" w:rsidRDefault="00000000" w:rsidRPr="00000000" w14:paraId="000000A2">
      <w:pPr>
        <w:shd w:fill="ffffff" w:val="clear"/>
        <w:spacing w:before="240" w:lineRule="auto"/>
        <w:ind w:left="2" w:hanging="2"/>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La Política contable de intangibles establece las características de reconocimiento, medición inicial y posterior, presentación y revelación de la información contable y financiera de los activos intangibles que posee la entidad, la cual debe ser diseñada de acuerdo con criterios del marco normativo. </w:t>
      </w:r>
    </w:p>
    <w:p w:rsidR="00000000" w:rsidDel="00000000" w:rsidP="00000000" w:rsidRDefault="00000000" w:rsidRPr="00000000" w14:paraId="000000A3">
      <w:pPr>
        <w:shd w:fill="ffffff" w:val="clear"/>
        <w:spacing w:before="240" w:lineRule="auto"/>
        <w:ind w:left="2" w:hanging="2"/>
        <w:jc w:val="both"/>
        <w:rPr>
          <w:sz w:val="20"/>
          <w:szCs w:val="20"/>
        </w:rPr>
      </w:pPr>
      <w:r w:rsidDel="00000000" w:rsidR="00000000" w:rsidRPr="00000000">
        <w:rPr>
          <w:sz w:val="20"/>
          <w:szCs w:val="20"/>
          <w:rtl w:val="0"/>
        </w:rPr>
        <w:t xml:space="preserve">La organización deberá optar, como política contable el modelo del costo o el modelo de revaluación, según indican los párrafos 74 y 75 respectivamente de la NIC 38. La norma también indica que, si un activo intangible por ejemplo se contabiliza según el modelo del costo, todos los demás activos clasificados en la misma clase se deberán contabilizar con el mismo modelo.</w:t>
      </w:r>
    </w:p>
    <w:p w:rsidR="00000000" w:rsidDel="00000000" w:rsidP="00000000" w:rsidRDefault="00000000" w:rsidRPr="00000000" w14:paraId="000000A4">
      <w:pPr>
        <w:shd w:fill="ffffff" w:val="clear"/>
        <w:spacing w:before="240" w:lineRule="auto"/>
        <w:ind w:left="2" w:hanging="2"/>
        <w:jc w:val="both"/>
        <w:rPr>
          <w:b w:val="1"/>
          <w:sz w:val="20"/>
          <w:szCs w:val="20"/>
        </w:rPr>
      </w:pPr>
      <w:r w:rsidDel="00000000" w:rsidR="00000000" w:rsidRPr="00000000">
        <w:rPr>
          <w:b w:val="1"/>
          <w:sz w:val="20"/>
          <w:szCs w:val="20"/>
          <w:rtl w:val="0"/>
        </w:rPr>
        <w:t xml:space="preserve">1.2. Diferidos </w:t>
      </w:r>
    </w:p>
    <w:p w:rsidR="00000000" w:rsidDel="00000000" w:rsidP="00000000" w:rsidRDefault="00000000" w:rsidRPr="00000000" w14:paraId="000000A5">
      <w:pPr>
        <w:shd w:fill="ffffff" w:val="clear"/>
        <w:spacing w:before="240" w:lineRule="auto"/>
        <w:ind w:left="2" w:hanging="2"/>
        <w:jc w:val="both"/>
        <w:rPr>
          <w:sz w:val="20"/>
          <w:szCs w:val="20"/>
        </w:rPr>
      </w:pPr>
      <w:r w:rsidDel="00000000" w:rsidR="00000000" w:rsidRPr="00000000">
        <w:rPr>
          <w:sz w:val="20"/>
          <w:szCs w:val="20"/>
          <w:rtl w:val="0"/>
        </w:rPr>
        <w:t xml:space="preserve">Los cargos diferidos se pueden dividir en dos partes: Diferidos propiamente dicho y los gastos pagados por anticipado. </w:t>
      </w:r>
    </w:p>
    <w:p w:rsidR="00000000" w:rsidDel="00000000" w:rsidP="00000000" w:rsidRDefault="00000000" w:rsidRPr="00000000" w14:paraId="000000A6">
      <w:pPr>
        <w:spacing w:before="240" w:lineRule="auto"/>
        <w:ind w:left="2" w:hanging="2"/>
        <w:jc w:val="both"/>
        <w:rPr>
          <w:color w:val="000000"/>
          <w:sz w:val="20"/>
          <w:szCs w:val="20"/>
        </w:rPr>
      </w:pPr>
      <w:r w:rsidDel="00000000" w:rsidR="00000000" w:rsidRPr="00000000">
        <w:rPr>
          <w:b w:val="1"/>
          <w:color w:val="000000"/>
          <w:sz w:val="20"/>
          <w:szCs w:val="20"/>
          <w:rtl w:val="0"/>
        </w:rPr>
        <w:t xml:space="preserve">1.2.1 Concepto Cargos Diferidos</w:t>
      </w:r>
      <w:r w:rsidDel="00000000" w:rsidR="00000000" w:rsidRPr="00000000">
        <w:rPr>
          <w:rtl w:val="0"/>
        </w:rPr>
      </w:r>
    </w:p>
    <w:p w:rsidR="00000000" w:rsidDel="00000000" w:rsidP="00000000" w:rsidRDefault="00000000" w:rsidRPr="00000000" w14:paraId="000000A7">
      <w:pPr>
        <w:shd w:fill="ffffff" w:val="clear"/>
        <w:spacing w:before="240" w:lineRule="auto"/>
        <w:ind w:left="2" w:hanging="2"/>
        <w:jc w:val="both"/>
        <w:rPr>
          <w:sz w:val="20"/>
          <w:szCs w:val="20"/>
        </w:rPr>
      </w:pPr>
      <w:r w:rsidDel="00000000" w:rsidR="00000000" w:rsidRPr="00000000">
        <w:rPr>
          <w:sz w:val="20"/>
          <w:szCs w:val="20"/>
          <w:rtl w:val="0"/>
        </w:rPr>
        <w:t xml:space="preserve">Los diferidos dependen de su materialidad y normalmente se llevan a una cuenta de gastos, pero esto no impide que en algunas ocasiones se deba hacer cierto análisis porque puede ser que el cargo diferido cumpla la definición de activo, y si en algún momento cumple con la definición de activo, es decir que sea un recurso controlado por la empresa proveniente de sucesos pasados de los cuales se espera recibir beneficios futuros.</w:t>
      </w:r>
    </w:p>
    <w:p w:rsidR="00000000" w:rsidDel="00000000" w:rsidP="00000000" w:rsidRDefault="00000000" w:rsidRPr="00000000" w14:paraId="000000A8">
      <w:pPr>
        <w:spacing w:before="240" w:lineRule="auto"/>
        <w:ind w:left="2" w:hanging="2"/>
        <w:jc w:val="both"/>
        <w:rPr>
          <w:b w:val="1"/>
          <w:color w:val="000000"/>
          <w:sz w:val="20"/>
          <w:szCs w:val="20"/>
          <w:highlight w:val="white"/>
        </w:rPr>
      </w:pPr>
      <w:r w:rsidDel="00000000" w:rsidR="00000000" w:rsidRPr="00000000">
        <w:rPr>
          <w:b w:val="1"/>
          <w:color w:val="000000"/>
          <w:sz w:val="20"/>
          <w:szCs w:val="20"/>
          <w:highlight w:val="white"/>
          <w:rtl w:val="0"/>
        </w:rPr>
        <w:t xml:space="preserve">1.2.2. Concepto de Gastos Pagados por anticipado</w:t>
      </w:r>
    </w:p>
    <w:p w:rsidR="00000000" w:rsidDel="00000000" w:rsidP="00000000" w:rsidRDefault="00000000" w:rsidRPr="00000000" w14:paraId="000000A9">
      <w:pPr>
        <w:spacing w:before="240" w:lineRule="auto"/>
        <w:ind w:left="2" w:hanging="2"/>
        <w:jc w:val="both"/>
        <w:rPr>
          <w:color w:val="000000"/>
          <w:sz w:val="20"/>
          <w:szCs w:val="20"/>
          <w:highlight w:val="white"/>
        </w:rPr>
      </w:pPr>
      <w:r w:rsidDel="00000000" w:rsidR="00000000" w:rsidRPr="00000000">
        <w:rPr>
          <w:b w:val="1"/>
          <w:color w:val="000000"/>
          <w:sz w:val="20"/>
          <w:szCs w:val="20"/>
          <w:highlight w:val="white"/>
          <w:rtl w:val="0"/>
        </w:rPr>
        <w:br w:type="textWrapping"/>
      </w:r>
      <w:r w:rsidDel="00000000" w:rsidR="00000000" w:rsidRPr="00000000">
        <w:rPr>
          <w:color w:val="000000"/>
          <w:sz w:val="20"/>
          <w:szCs w:val="20"/>
          <w:rtl w:val="0"/>
        </w:rPr>
        <w:t xml:space="preserve">Son un anticipo que se entrega (en dinero) y que van a cubrir un determinado tiempo de acuerdo con el uso. Por ejemplo, una póliza de seguro (prepagada), intereses pagados por anticipado, arrendamientos, entre otros, en los que incurre el ente económico en la ejecución de su actividad.  Lo importante, en determinado momento es saber si cumple con la definición de activo estos gastos que normalmente se ubican en una cuenta por cobrar u otras cuentas por cobrar.</w:t>
      </w:r>
      <w:r w:rsidDel="00000000" w:rsidR="00000000" w:rsidRPr="00000000">
        <w:rPr>
          <w:rtl w:val="0"/>
        </w:rPr>
      </w:r>
    </w:p>
    <w:p w:rsidR="00000000" w:rsidDel="00000000" w:rsidP="00000000" w:rsidRDefault="00000000" w:rsidRPr="00000000" w14:paraId="000000AA">
      <w:pPr>
        <w:spacing w:before="240" w:lineRule="auto"/>
        <w:ind w:left="2" w:hanging="2"/>
        <w:jc w:val="both"/>
        <w:rPr>
          <w:color w:val="000000"/>
          <w:sz w:val="20"/>
          <w:szCs w:val="20"/>
        </w:rPr>
      </w:pPr>
      <w:r w:rsidDel="00000000" w:rsidR="00000000" w:rsidRPr="00000000">
        <w:rPr>
          <w:color w:val="000000"/>
          <w:sz w:val="20"/>
          <w:szCs w:val="20"/>
          <w:rtl w:val="0"/>
        </w:rPr>
        <w:t xml:space="preserve">El párrafo 70 de la NIC 38, sostiene:</w:t>
      </w:r>
    </w:p>
    <w:p w:rsidR="00000000" w:rsidDel="00000000" w:rsidP="00000000" w:rsidRDefault="00000000" w:rsidRPr="00000000" w14:paraId="000000AB">
      <w:pPr>
        <w:spacing w:before="240" w:lineRule="auto"/>
        <w:ind w:left="2" w:hanging="2"/>
        <w:jc w:val="both"/>
        <w:rPr>
          <w:color w:val="000000"/>
          <w:sz w:val="20"/>
          <w:szCs w:val="20"/>
        </w:rPr>
      </w:pPr>
      <w:r w:rsidDel="00000000" w:rsidR="00000000" w:rsidRPr="00000000">
        <w:rPr>
          <w:color w:val="000000"/>
          <w:sz w:val="20"/>
          <w:szCs w:val="20"/>
          <w:rtl w:val="0"/>
        </w:rPr>
        <w:t xml:space="preserve">“(…) el párrafo 68 no impide que ésta reconozca el pago anticipado como un activo, cuando dicho pago por servicios se haya realizado antes de que la entidad reciba </w:t>
      </w:r>
      <w:r w:rsidDel="00000000" w:rsidR="00000000" w:rsidRPr="00000000">
        <w:rPr>
          <w:sz w:val="20"/>
          <w:szCs w:val="20"/>
          <w:rtl w:val="0"/>
        </w:rPr>
        <w:t xml:space="preserve">estos</w:t>
      </w:r>
      <w:r w:rsidDel="00000000" w:rsidR="00000000" w:rsidRPr="00000000">
        <w:rPr>
          <w:color w:val="000000"/>
          <w:sz w:val="20"/>
          <w:szCs w:val="20"/>
          <w:rtl w:val="0"/>
        </w:rPr>
        <w:t xml:space="preserve"> servicios.”</w:t>
      </w:r>
    </w:p>
    <w:p w:rsidR="00000000" w:rsidDel="00000000" w:rsidP="00000000" w:rsidRDefault="00000000" w:rsidRPr="00000000" w14:paraId="000000AC">
      <w:pPr>
        <w:spacing w:before="240" w:lineRule="auto"/>
        <w:ind w:left="2" w:hanging="2"/>
        <w:jc w:val="both"/>
        <w:rPr>
          <w:color w:val="000000"/>
          <w:sz w:val="20"/>
          <w:szCs w:val="20"/>
        </w:rPr>
      </w:pPr>
      <w:r w:rsidDel="00000000" w:rsidR="00000000" w:rsidRPr="00000000">
        <w:rPr>
          <w:b w:val="1"/>
          <w:color w:val="000000"/>
          <w:sz w:val="20"/>
          <w:szCs w:val="20"/>
          <w:rtl w:val="0"/>
        </w:rPr>
        <w:t xml:space="preserve">1.2.3. Reconocimiento y medición.</w:t>
      </w:r>
      <w:r w:rsidDel="00000000" w:rsidR="00000000" w:rsidRPr="00000000">
        <w:rPr>
          <w:rtl w:val="0"/>
        </w:rPr>
      </w:r>
    </w:p>
    <w:p w:rsidR="00000000" w:rsidDel="00000000" w:rsidP="00000000" w:rsidRDefault="00000000" w:rsidRPr="00000000" w14:paraId="000000AD">
      <w:pPr>
        <w:spacing w:before="240" w:lineRule="auto"/>
        <w:jc w:val="both"/>
        <w:rPr>
          <w:color w:val="000000"/>
          <w:sz w:val="20"/>
          <w:szCs w:val="20"/>
        </w:rPr>
      </w:pPr>
      <w:r w:rsidDel="00000000" w:rsidR="00000000" w:rsidRPr="00000000">
        <w:rPr>
          <w:b w:val="1"/>
          <w:color w:val="000000"/>
          <w:sz w:val="20"/>
          <w:szCs w:val="20"/>
          <w:highlight w:val="white"/>
          <w:rtl w:val="0"/>
        </w:rPr>
        <w:t xml:space="preserve">Reconocimiento</w:t>
      </w:r>
      <w:r w:rsidDel="00000000" w:rsidR="00000000" w:rsidRPr="00000000">
        <w:rPr>
          <w:rtl w:val="0"/>
        </w:rPr>
      </w:r>
    </w:p>
    <w:p w:rsidR="00000000" w:rsidDel="00000000" w:rsidP="00000000" w:rsidRDefault="00000000" w:rsidRPr="00000000" w14:paraId="000000AE">
      <w:pPr>
        <w:spacing w:before="240" w:lineRule="auto"/>
        <w:jc w:val="both"/>
        <w:rPr>
          <w:color w:val="000000"/>
          <w:sz w:val="20"/>
          <w:szCs w:val="20"/>
        </w:rPr>
      </w:pPr>
      <w:r w:rsidDel="00000000" w:rsidR="00000000" w:rsidRPr="00000000">
        <w:rPr>
          <w:color w:val="000000"/>
          <w:sz w:val="20"/>
          <w:szCs w:val="20"/>
          <w:rtl w:val="0"/>
        </w:rPr>
        <w:t xml:space="preserve">El párrafo 68 NIC 38: Activos intangibles (Grupo 1) no impide que la entidad reconozca un pago anticipado como activo, cuando el pago por los bienes se haya realizado antes de que la entidad obtenga el derecho de acceso a esos bienes.</w:t>
      </w:r>
    </w:p>
    <w:p w:rsidR="00000000" w:rsidDel="00000000" w:rsidP="00000000" w:rsidRDefault="00000000" w:rsidRPr="00000000" w14:paraId="000000AF">
      <w:pPr>
        <w:spacing w:before="240" w:lineRule="auto"/>
        <w:ind w:left="2" w:hanging="2"/>
        <w:jc w:val="both"/>
        <w:rPr>
          <w:color w:val="000000"/>
          <w:sz w:val="20"/>
          <w:szCs w:val="20"/>
        </w:rPr>
      </w:pPr>
      <w:r w:rsidDel="00000000" w:rsidR="00000000" w:rsidRPr="00000000">
        <w:rPr>
          <w:color w:val="000000"/>
          <w:sz w:val="20"/>
          <w:szCs w:val="20"/>
          <w:rtl w:val="0"/>
        </w:rPr>
        <w:t xml:space="preserve">Los desembolsos sobre un activo intangible, reconocidos inicialmente como gastos del periodo no se reconocerán posteriormente como parte del costo de un activo intangible.</w:t>
      </w:r>
    </w:p>
    <w:p w:rsidR="00000000" w:rsidDel="00000000" w:rsidP="00000000" w:rsidRDefault="00000000" w:rsidRPr="00000000" w14:paraId="000000B0">
      <w:pPr>
        <w:spacing w:before="240" w:lineRule="auto"/>
        <w:ind w:left="2" w:hanging="2"/>
        <w:jc w:val="both"/>
        <w:rPr>
          <w:color w:val="000000"/>
          <w:sz w:val="20"/>
          <w:szCs w:val="20"/>
        </w:rPr>
      </w:pPr>
      <w:r w:rsidDel="00000000" w:rsidR="00000000" w:rsidRPr="00000000">
        <w:rPr>
          <w:b w:val="1"/>
          <w:color w:val="000000"/>
          <w:sz w:val="20"/>
          <w:szCs w:val="20"/>
          <w:rtl w:val="0"/>
        </w:rPr>
        <w:t xml:space="preserve">Ejemplo:</w:t>
      </w:r>
      <w:r w:rsidDel="00000000" w:rsidR="00000000" w:rsidRPr="00000000">
        <w:rPr>
          <w:rtl w:val="0"/>
        </w:rPr>
      </w:r>
    </w:p>
    <w:p w:rsidR="00000000" w:rsidDel="00000000" w:rsidP="00000000" w:rsidRDefault="00000000" w:rsidRPr="00000000" w14:paraId="000000B1">
      <w:pPr>
        <w:spacing w:before="240" w:lineRule="auto"/>
        <w:ind w:left="2" w:hanging="2"/>
        <w:jc w:val="both"/>
        <w:rPr>
          <w:color w:val="000000"/>
          <w:sz w:val="20"/>
          <w:szCs w:val="20"/>
        </w:rPr>
      </w:pPr>
      <w:r w:rsidDel="00000000" w:rsidR="00000000" w:rsidRPr="00000000">
        <w:rPr>
          <w:color w:val="000000"/>
          <w:sz w:val="20"/>
          <w:szCs w:val="20"/>
          <w:rtl w:val="0"/>
        </w:rPr>
        <w:t xml:space="preserve">Párrafo 28 NIC 38 Activos Intangibles: a) los costos de introducción de un nuevo producto o servicio (incluyendo los costos de actividades publicitarias y promocionales); b) los costos de apertura del negocio en una nueva localización o dirigirlo a un nuevo segmento de clientela (incluyendo los costos de formación del personal); y (c) los costos de administración y otros costos indirectos generales.</w:t>
      </w:r>
    </w:p>
    <w:p w:rsidR="00000000" w:rsidDel="00000000" w:rsidP="00000000" w:rsidRDefault="00000000" w:rsidRPr="00000000" w14:paraId="000000B2">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Medición Inicial</w:t>
      </w:r>
    </w:p>
    <w:p w:rsidR="00000000" w:rsidDel="00000000" w:rsidP="00000000" w:rsidRDefault="00000000" w:rsidRPr="00000000" w14:paraId="000000B3">
      <w:pPr>
        <w:spacing w:before="240" w:lineRule="auto"/>
        <w:ind w:left="2" w:hanging="2"/>
        <w:jc w:val="both"/>
        <w:rPr>
          <w:color w:val="000000"/>
          <w:sz w:val="20"/>
          <w:szCs w:val="20"/>
        </w:rPr>
      </w:pPr>
      <w:r w:rsidDel="00000000" w:rsidR="00000000" w:rsidRPr="00000000">
        <w:rPr>
          <w:color w:val="000000"/>
          <w:sz w:val="20"/>
          <w:szCs w:val="20"/>
          <w:rtl w:val="0"/>
        </w:rPr>
        <w:t xml:space="preserve">La entidad elegirá como política contable, entre el modelo del costo del párrafo 74 o el modelo de revaluación del párrafo 75 de la NIC 38.</w:t>
      </w:r>
    </w:p>
    <w:p w:rsidR="00000000" w:rsidDel="00000000" w:rsidP="00000000" w:rsidRDefault="00000000" w:rsidRPr="00000000" w14:paraId="000000B4">
      <w:pPr>
        <w:spacing w:before="240" w:lineRule="auto"/>
        <w:ind w:left="2" w:hanging="2"/>
        <w:jc w:val="both"/>
        <w:rPr>
          <w:color w:val="000000"/>
          <w:sz w:val="20"/>
          <w:szCs w:val="20"/>
        </w:rPr>
      </w:pPr>
      <w:r w:rsidDel="00000000" w:rsidR="00000000" w:rsidRPr="00000000">
        <w:rPr>
          <w:color w:val="000000"/>
          <w:sz w:val="20"/>
          <w:szCs w:val="20"/>
          <w:rtl w:val="0"/>
        </w:rPr>
        <w:t xml:space="preserve">En este </w:t>
      </w:r>
      <w:r w:rsidDel="00000000" w:rsidR="00000000" w:rsidRPr="00000000">
        <w:rPr>
          <w:sz w:val="20"/>
          <w:szCs w:val="20"/>
          <w:rtl w:val="0"/>
        </w:rPr>
        <w:t xml:space="preserve">sentido, si</w:t>
      </w:r>
      <w:r w:rsidDel="00000000" w:rsidR="00000000" w:rsidRPr="00000000">
        <w:rPr>
          <w:color w:val="000000"/>
          <w:sz w:val="20"/>
          <w:szCs w:val="20"/>
          <w:rtl w:val="0"/>
        </w:rPr>
        <w:t xml:space="preserve"> un activo intangible se contabiliza según el modelo de revaluación, todos los demás activos pertenecientes a la misma clase también se contabilizarán utilizando el mismo modelo, a menos que no exista un mercado activo para esa clase de activos.</w:t>
      </w:r>
    </w:p>
    <w:p w:rsidR="00000000" w:rsidDel="00000000" w:rsidP="00000000" w:rsidRDefault="00000000" w:rsidRPr="00000000" w14:paraId="000000B5">
      <w:pPr>
        <w:numPr>
          <w:ilvl w:val="0"/>
          <w:numId w:val="2"/>
        </w:numPr>
        <w:spacing w:before="240" w:lineRule="auto"/>
        <w:ind w:left="2" w:hanging="2"/>
        <w:jc w:val="both"/>
        <w:rPr>
          <w:color w:val="000000"/>
          <w:sz w:val="20"/>
          <w:szCs w:val="20"/>
        </w:rPr>
      </w:pPr>
      <w:r w:rsidDel="00000000" w:rsidR="00000000" w:rsidRPr="00000000">
        <w:rPr>
          <w:b w:val="1"/>
          <w:color w:val="000000"/>
          <w:sz w:val="20"/>
          <w:szCs w:val="20"/>
          <w:rtl w:val="0"/>
        </w:rPr>
        <w:t xml:space="preserve">Medición Posterior al Modelo del Costo</w:t>
      </w:r>
      <w:r w:rsidDel="00000000" w:rsidR="00000000" w:rsidRPr="00000000">
        <w:rPr>
          <w:rtl w:val="0"/>
        </w:rPr>
      </w:r>
    </w:p>
    <w:p w:rsidR="00000000" w:rsidDel="00000000" w:rsidP="00000000" w:rsidRDefault="00000000" w:rsidRPr="00000000" w14:paraId="000000B6">
      <w:pPr>
        <w:spacing w:before="240" w:lineRule="auto"/>
        <w:ind w:left="2" w:hanging="2"/>
        <w:jc w:val="both"/>
        <w:rPr>
          <w:color w:val="000000"/>
          <w:sz w:val="20"/>
          <w:szCs w:val="20"/>
        </w:rPr>
      </w:pPr>
      <w:r w:rsidDel="00000000" w:rsidR="00000000" w:rsidRPr="00000000">
        <w:rPr>
          <w:color w:val="000000"/>
          <w:sz w:val="20"/>
          <w:szCs w:val="20"/>
          <w:rtl w:val="0"/>
        </w:rPr>
        <w:t xml:space="preserve">La medición posterior de un activo intangible se contabilizará por su costo menos el valor de la amortización acumulada y las </w:t>
      </w:r>
      <w:r w:rsidDel="00000000" w:rsidR="00000000" w:rsidRPr="00000000">
        <w:rPr>
          <w:sz w:val="20"/>
          <w:szCs w:val="20"/>
          <w:rtl w:val="0"/>
        </w:rPr>
        <w:t xml:space="preserve">pérdidas</w:t>
      </w:r>
      <w:r w:rsidDel="00000000" w:rsidR="00000000" w:rsidRPr="00000000">
        <w:rPr>
          <w:color w:val="000000"/>
          <w:sz w:val="20"/>
          <w:szCs w:val="20"/>
          <w:rtl w:val="0"/>
        </w:rPr>
        <w:t xml:space="preserve"> por deterioro del activo contempladas en el párrafo 74 de la NIC 38.</w:t>
      </w:r>
    </w:p>
    <w:p w:rsidR="00000000" w:rsidDel="00000000" w:rsidP="00000000" w:rsidRDefault="00000000" w:rsidRPr="00000000" w14:paraId="000000B7">
      <w:pPr>
        <w:numPr>
          <w:ilvl w:val="0"/>
          <w:numId w:val="2"/>
        </w:numPr>
        <w:spacing w:before="240" w:lineRule="auto"/>
        <w:ind w:left="2" w:hanging="2"/>
        <w:jc w:val="both"/>
        <w:rPr>
          <w:color w:val="000000"/>
          <w:sz w:val="20"/>
          <w:szCs w:val="20"/>
        </w:rPr>
      </w:pPr>
      <w:r w:rsidDel="00000000" w:rsidR="00000000" w:rsidRPr="00000000">
        <w:rPr>
          <w:b w:val="1"/>
          <w:color w:val="000000"/>
          <w:sz w:val="20"/>
          <w:szCs w:val="20"/>
          <w:rtl w:val="0"/>
        </w:rPr>
        <w:t xml:space="preserve">Medición Posterior al Modelo Revaluación</w:t>
      </w:r>
      <w:r w:rsidDel="00000000" w:rsidR="00000000" w:rsidRPr="00000000">
        <w:rPr>
          <w:rtl w:val="0"/>
        </w:rPr>
      </w:r>
    </w:p>
    <w:p w:rsidR="00000000" w:rsidDel="00000000" w:rsidP="00000000" w:rsidRDefault="00000000" w:rsidRPr="00000000" w14:paraId="000000B8">
      <w:pPr>
        <w:spacing w:before="240" w:lineRule="auto"/>
        <w:ind w:left="2" w:hanging="2"/>
        <w:jc w:val="both"/>
        <w:rPr>
          <w:color w:val="000000"/>
          <w:sz w:val="20"/>
          <w:szCs w:val="20"/>
        </w:rPr>
      </w:pPr>
      <w:r w:rsidDel="00000000" w:rsidR="00000000" w:rsidRPr="00000000">
        <w:rPr>
          <w:color w:val="000000"/>
          <w:sz w:val="20"/>
          <w:szCs w:val="20"/>
          <w:rtl w:val="0"/>
        </w:rPr>
        <w:t xml:space="preserve">Un activo intangible se registrará por el valor revaluado (valor razonable), menos la amortización y las pérdidas acumuladas por deterioro que haya sufrido el activo.</w:t>
      </w:r>
    </w:p>
    <w:p w:rsidR="00000000" w:rsidDel="00000000" w:rsidP="00000000" w:rsidRDefault="00000000" w:rsidRPr="00000000" w14:paraId="000000B9">
      <w:pPr>
        <w:spacing w:before="240" w:lineRule="auto"/>
        <w:ind w:left="2" w:hanging="2"/>
        <w:jc w:val="both"/>
        <w:rPr>
          <w:color w:val="000000"/>
          <w:sz w:val="20"/>
          <w:szCs w:val="20"/>
        </w:rPr>
      </w:pPr>
      <w:r w:rsidDel="00000000" w:rsidR="00000000" w:rsidRPr="00000000">
        <w:rPr>
          <w:color w:val="000000"/>
          <w:sz w:val="20"/>
          <w:szCs w:val="20"/>
          <w:rtl w:val="0"/>
        </w:rPr>
        <w:t xml:space="preserve">Por otro lado, los desembolsos sobre una partida intangible deberán reconocerse como un gasto cuando se incurra en ellos (NIC 38 Párrafo 68)</w:t>
      </w:r>
    </w:p>
    <w:p w:rsidR="00000000" w:rsidDel="00000000" w:rsidP="00000000" w:rsidRDefault="00000000" w:rsidRPr="00000000" w14:paraId="000000BA">
      <w:pPr>
        <w:spacing w:before="240" w:lineRule="auto"/>
        <w:ind w:left="2" w:hanging="2"/>
        <w:jc w:val="both"/>
        <w:rPr>
          <w:color w:val="000000"/>
          <w:sz w:val="20"/>
          <w:szCs w:val="20"/>
        </w:rPr>
      </w:pPr>
      <w:r w:rsidDel="00000000" w:rsidR="00000000" w:rsidRPr="00000000">
        <w:rPr>
          <w:b w:val="1"/>
          <w:i w:val="1"/>
          <w:color w:val="000000"/>
          <w:sz w:val="20"/>
          <w:szCs w:val="20"/>
          <w:rtl w:val="0"/>
        </w:rPr>
        <w:t xml:space="preserve">Ejemplos</w:t>
      </w:r>
      <w:r w:rsidDel="00000000" w:rsidR="00000000" w:rsidRPr="00000000">
        <w:rPr>
          <w:i w:val="1"/>
          <w:color w:val="000000"/>
          <w:sz w:val="20"/>
          <w:szCs w:val="20"/>
          <w:rtl w:val="0"/>
        </w:rPr>
        <w:t xml:space="preserve">:</w:t>
      </w:r>
      <w:r w:rsidDel="00000000" w:rsidR="00000000" w:rsidRPr="00000000">
        <w:rPr>
          <w:rtl w:val="0"/>
        </w:rPr>
      </w:r>
    </w:p>
    <w:p w:rsidR="00000000" w:rsidDel="00000000" w:rsidP="00000000" w:rsidRDefault="00000000" w:rsidRPr="00000000" w14:paraId="000000BB">
      <w:pPr>
        <w:spacing w:before="240" w:lineRule="auto"/>
        <w:ind w:left="2" w:hanging="2"/>
        <w:jc w:val="both"/>
        <w:rPr>
          <w:color w:val="000000"/>
          <w:sz w:val="20"/>
          <w:szCs w:val="20"/>
        </w:rPr>
      </w:pPr>
      <w:r w:rsidDel="00000000" w:rsidR="00000000" w:rsidRPr="00000000">
        <w:rPr>
          <w:color w:val="000000"/>
          <w:sz w:val="20"/>
          <w:szCs w:val="20"/>
          <w:rtl w:val="0"/>
        </w:rPr>
        <w:t xml:space="preserve">El 1 de junio del año 20X1, la empresa ABC, adquiere un contrato de arrendamiento.  Paga por anticipado tres meses de arrendamiento por valor de $3.000.000, más IVA tarifa general.</w:t>
      </w:r>
    </w:p>
    <w:p w:rsidR="00000000" w:rsidDel="00000000" w:rsidP="00000000" w:rsidRDefault="00000000" w:rsidRPr="00000000" w14:paraId="000000BC">
      <w:pPr>
        <w:spacing w:before="240" w:lineRule="auto"/>
        <w:ind w:left="2" w:hanging="2"/>
        <w:jc w:val="both"/>
        <w:rPr>
          <w:color w:val="000000"/>
          <w:sz w:val="20"/>
          <w:szCs w:val="20"/>
        </w:rPr>
      </w:pPr>
      <w:r w:rsidDel="00000000" w:rsidR="00000000" w:rsidRPr="00000000">
        <w:rPr>
          <w:color w:val="000000"/>
          <w:sz w:val="20"/>
          <w:szCs w:val="20"/>
          <w:rtl w:val="0"/>
        </w:rPr>
        <w:t xml:space="preserve">Valor Anticipo     $3.000.000</w:t>
      </w:r>
    </w:p>
    <w:p w:rsidR="00000000" w:rsidDel="00000000" w:rsidP="00000000" w:rsidRDefault="00000000" w:rsidRPr="00000000" w14:paraId="000000BD">
      <w:pPr>
        <w:spacing w:before="240" w:lineRule="auto"/>
        <w:ind w:left="2" w:hanging="2"/>
        <w:jc w:val="both"/>
        <w:rPr>
          <w:color w:val="000000"/>
          <w:sz w:val="20"/>
          <w:szCs w:val="20"/>
        </w:rPr>
      </w:pPr>
      <w:r w:rsidDel="00000000" w:rsidR="00000000" w:rsidRPr="00000000">
        <w:rPr>
          <w:color w:val="000000"/>
          <w:sz w:val="20"/>
          <w:szCs w:val="20"/>
          <w:rtl w:val="0"/>
        </w:rPr>
        <w:t xml:space="preserve">Más IVA                  570 .000</w:t>
      </w:r>
    </w:p>
    <w:p w:rsidR="00000000" w:rsidDel="00000000" w:rsidP="00000000" w:rsidRDefault="00000000" w:rsidRPr="00000000" w14:paraId="000000BE">
      <w:pPr>
        <w:spacing w:before="240" w:lineRule="auto"/>
        <w:ind w:left="2" w:hanging="2"/>
        <w:jc w:val="both"/>
        <w:rPr>
          <w:color w:val="000000"/>
          <w:sz w:val="20"/>
          <w:szCs w:val="20"/>
        </w:rPr>
      </w:pPr>
      <w:r w:rsidDel="00000000" w:rsidR="00000000" w:rsidRPr="00000000">
        <w:rPr>
          <w:color w:val="000000"/>
          <w:sz w:val="20"/>
          <w:szCs w:val="20"/>
          <w:rtl w:val="0"/>
        </w:rPr>
        <w:t xml:space="preserve">Valor Total            3.750.000</w:t>
      </w:r>
    </w:p>
    <w:p w:rsidR="00000000" w:rsidDel="00000000" w:rsidP="00000000" w:rsidRDefault="00000000" w:rsidRPr="00000000" w14:paraId="000000BF">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C0">
      <w:pPr>
        <w:spacing w:before="240" w:lineRule="auto"/>
        <w:ind w:left="2" w:hanging="2"/>
        <w:jc w:val="both"/>
        <w:rPr>
          <w:b w:val="1"/>
          <w:color w:val="000000"/>
          <w:sz w:val="20"/>
          <w:szCs w:val="20"/>
        </w:rPr>
      </w:pPr>
      <w:r w:rsidDel="00000000" w:rsidR="00000000" w:rsidRPr="00000000">
        <w:rPr>
          <w:b w:val="1"/>
          <w:color w:val="000000"/>
          <w:sz w:val="20"/>
          <w:szCs w:val="20"/>
          <w:rtl w:val="0"/>
        </w:rPr>
        <w:t xml:space="preserve">Reconocimiento</w:t>
      </w:r>
    </w:p>
    <w:p w:rsidR="00000000" w:rsidDel="00000000" w:rsidP="00000000" w:rsidRDefault="00000000" w:rsidRPr="00000000" w14:paraId="000000C1">
      <w:pPr>
        <w:spacing w:before="240" w:lineRule="auto"/>
        <w:ind w:left="2" w:hanging="2"/>
        <w:jc w:val="both"/>
        <w:rPr>
          <w:color w:val="000000"/>
          <w:sz w:val="20"/>
          <w:szCs w:val="20"/>
        </w:rPr>
      </w:pPr>
      <w:r w:rsidDel="00000000" w:rsidR="00000000" w:rsidRPr="00000000">
        <w:rPr>
          <w:rtl w:val="0"/>
        </w:rPr>
      </w:r>
    </w:p>
    <w:tbl>
      <w:tblPr>
        <w:tblStyle w:val="Table10"/>
        <w:tblW w:w="5534.0" w:type="dxa"/>
        <w:jc w:val="center"/>
        <w:tblLayout w:type="fixed"/>
        <w:tblLook w:val="0400"/>
      </w:tblPr>
      <w:tblGrid>
        <w:gridCol w:w="2605"/>
        <w:gridCol w:w="1370"/>
        <w:gridCol w:w="1559"/>
        <w:tblGridChange w:id="0">
          <w:tblGrid>
            <w:gridCol w:w="2605"/>
            <w:gridCol w:w="1370"/>
            <w:gridCol w:w="1559"/>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2">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C3">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C4">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433"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before="240" w:lineRule="auto"/>
              <w:ind w:left="2" w:hanging="2"/>
              <w:jc w:val="both"/>
              <w:rPr>
                <w:color w:val="000000"/>
                <w:sz w:val="20"/>
                <w:szCs w:val="20"/>
              </w:rPr>
            </w:pPr>
            <w:r w:rsidDel="00000000" w:rsidR="00000000" w:rsidRPr="00000000">
              <w:rPr>
                <w:color w:val="000000"/>
                <w:sz w:val="20"/>
                <w:szCs w:val="20"/>
                <w:rtl w:val="0"/>
              </w:rPr>
              <w:t xml:space="preserve">Gastos Arrendamientos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6">
            <w:pPr>
              <w:spacing w:before="240" w:lineRule="auto"/>
              <w:ind w:left="2" w:hanging="2"/>
              <w:jc w:val="center"/>
              <w:rPr>
                <w:color w:val="000000"/>
                <w:sz w:val="20"/>
                <w:szCs w:val="20"/>
              </w:rPr>
            </w:pPr>
            <w:r w:rsidDel="00000000" w:rsidR="00000000" w:rsidRPr="00000000">
              <w:rPr>
                <w:color w:val="000000"/>
                <w:sz w:val="20"/>
                <w:szCs w:val="20"/>
                <w:rtl w:val="0"/>
              </w:rPr>
              <w:t xml:space="preserve">3.000.000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7">
            <w:pPr>
              <w:spacing w:before="240" w:lineRule="auto"/>
              <w:ind w:left="2" w:hanging="2"/>
              <w:jc w:val="center"/>
              <w:rPr>
                <w:color w:val="000000"/>
                <w:sz w:val="20"/>
                <w:szCs w:val="20"/>
              </w:rPr>
            </w:pPr>
            <w:r w:rsidDel="00000000" w:rsidR="00000000" w:rsidRPr="00000000">
              <w:rPr>
                <w:rtl w:val="0"/>
              </w:rPr>
            </w:r>
          </w:p>
        </w:tc>
      </w:tr>
      <w:tr>
        <w:trPr>
          <w:trHeight w:val="51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spacing w:before="240" w:lineRule="auto"/>
              <w:ind w:left="2" w:hanging="2"/>
              <w:jc w:val="both"/>
              <w:rPr>
                <w:color w:val="000000"/>
                <w:sz w:val="20"/>
                <w:szCs w:val="20"/>
              </w:rPr>
            </w:pPr>
            <w:r w:rsidDel="00000000" w:rsidR="00000000" w:rsidRPr="00000000">
              <w:rPr>
                <w:color w:val="000000"/>
                <w:sz w:val="20"/>
                <w:szCs w:val="20"/>
                <w:rtl w:val="0"/>
              </w:rPr>
              <w:t xml:space="preserve">Activo por Impuestos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9">
            <w:pPr>
              <w:spacing w:before="240" w:lineRule="auto"/>
              <w:ind w:left="2" w:hanging="2"/>
              <w:jc w:val="center"/>
              <w:rPr>
                <w:color w:val="000000"/>
                <w:sz w:val="20"/>
                <w:szCs w:val="20"/>
              </w:rPr>
            </w:pPr>
            <w:r w:rsidDel="00000000" w:rsidR="00000000" w:rsidRPr="00000000">
              <w:rPr>
                <w:color w:val="000000"/>
                <w:sz w:val="20"/>
                <w:szCs w:val="20"/>
                <w:rtl w:val="0"/>
              </w:rPr>
              <w:t xml:space="preserve">570.000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A">
            <w:pPr>
              <w:spacing w:before="240" w:lineRule="auto"/>
              <w:ind w:left="2" w:hanging="2"/>
              <w:jc w:val="center"/>
              <w:rPr>
                <w:color w:val="000000"/>
                <w:sz w:val="20"/>
                <w:szCs w:val="20"/>
              </w:rPr>
            </w:pPr>
            <w:r w:rsidDel="00000000" w:rsidR="00000000" w:rsidRPr="00000000">
              <w:rPr>
                <w:rtl w:val="0"/>
              </w:rPr>
            </w:r>
          </w:p>
        </w:tc>
      </w:tr>
      <w:tr>
        <w:trPr>
          <w:trHeight w:val="25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before="240" w:lineRule="auto"/>
              <w:ind w:left="2" w:hanging="2"/>
              <w:jc w:val="both"/>
              <w:rPr>
                <w:color w:val="000000"/>
                <w:sz w:val="20"/>
                <w:szCs w:val="20"/>
              </w:rPr>
            </w:pPr>
            <w:r w:rsidDel="00000000" w:rsidR="00000000" w:rsidRPr="00000000">
              <w:rPr>
                <w:color w:val="000000"/>
                <w:sz w:val="20"/>
                <w:szCs w:val="20"/>
                <w:rtl w:val="0"/>
              </w:rPr>
              <w:t xml:space="preserve">Cuentas por Pagar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C">
            <w:pPr>
              <w:spacing w:before="240" w:lineRule="auto"/>
              <w:ind w:left="2" w:hanging="2"/>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D">
            <w:pPr>
              <w:spacing w:before="240" w:lineRule="auto"/>
              <w:ind w:left="2" w:hanging="2"/>
              <w:jc w:val="center"/>
              <w:rPr>
                <w:color w:val="000000"/>
                <w:sz w:val="20"/>
                <w:szCs w:val="20"/>
              </w:rPr>
            </w:pPr>
            <w:r w:rsidDel="00000000" w:rsidR="00000000" w:rsidRPr="00000000">
              <w:rPr>
                <w:color w:val="000000"/>
                <w:sz w:val="20"/>
                <w:szCs w:val="20"/>
                <w:rtl w:val="0"/>
              </w:rPr>
              <w:t xml:space="preserve">3.570.000</w:t>
            </w:r>
          </w:p>
        </w:tc>
      </w:tr>
    </w:tbl>
    <w:p w:rsidR="00000000" w:rsidDel="00000000" w:rsidP="00000000" w:rsidRDefault="00000000" w:rsidRPr="00000000" w14:paraId="000000CE">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CF">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D0">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D1">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D2">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D3">
      <w:pPr>
        <w:spacing w:before="240" w:lineRule="auto"/>
        <w:ind w:left="2" w:hanging="2"/>
        <w:jc w:val="both"/>
        <w:rPr>
          <w:b w:val="1"/>
          <w:color w:val="000000"/>
          <w:sz w:val="20"/>
          <w:szCs w:val="20"/>
        </w:rPr>
      </w:pPr>
      <w:r w:rsidDel="00000000" w:rsidR="00000000" w:rsidRPr="00000000">
        <w:rPr>
          <w:b w:val="1"/>
          <w:color w:val="000000"/>
          <w:sz w:val="20"/>
          <w:szCs w:val="20"/>
          <w:rtl w:val="0"/>
        </w:rPr>
        <w:t xml:space="preserve">Momento del pago</w:t>
      </w:r>
    </w:p>
    <w:p w:rsidR="00000000" w:rsidDel="00000000" w:rsidP="00000000" w:rsidRDefault="00000000" w:rsidRPr="00000000" w14:paraId="000000D4">
      <w:pPr>
        <w:spacing w:before="240" w:lineRule="auto"/>
        <w:ind w:left="2" w:hanging="2"/>
        <w:jc w:val="both"/>
        <w:rPr>
          <w:color w:val="000000"/>
          <w:sz w:val="20"/>
          <w:szCs w:val="20"/>
        </w:rPr>
      </w:pPr>
      <w:r w:rsidDel="00000000" w:rsidR="00000000" w:rsidRPr="00000000">
        <w:rPr>
          <w:rtl w:val="0"/>
        </w:rPr>
      </w:r>
    </w:p>
    <w:tbl>
      <w:tblPr>
        <w:tblStyle w:val="Table11"/>
        <w:tblW w:w="6096.0" w:type="dxa"/>
        <w:jc w:val="center"/>
        <w:tblLayout w:type="fixed"/>
        <w:tblLook w:val="0400"/>
      </w:tblPr>
      <w:tblGrid>
        <w:gridCol w:w="2656"/>
        <w:gridCol w:w="1739"/>
        <w:gridCol w:w="1701"/>
        <w:tblGridChange w:id="0">
          <w:tblGrid>
            <w:gridCol w:w="2656"/>
            <w:gridCol w:w="1739"/>
            <w:gridCol w:w="1701"/>
          </w:tblGrid>
        </w:tblGridChange>
      </w:tblGrid>
      <w:tr>
        <w:trPr>
          <w:trHeight w:val="205"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5">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D6">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tcPr>
          <w:p w:rsidR="00000000" w:rsidDel="00000000" w:rsidP="00000000" w:rsidRDefault="00000000" w:rsidRPr="00000000" w14:paraId="000000D7">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26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8">
            <w:pPr>
              <w:spacing w:before="240" w:lineRule="auto"/>
              <w:ind w:left="2" w:hanging="2"/>
              <w:jc w:val="center"/>
              <w:rPr>
                <w:color w:val="000000"/>
                <w:sz w:val="20"/>
                <w:szCs w:val="20"/>
              </w:rPr>
            </w:pPr>
            <w:r w:rsidDel="00000000" w:rsidR="00000000" w:rsidRPr="00000000">
              <w:rPr>
                <w:color w:val="000000"/>
                <w:sz w:val="20"/>
                <w:szCs w:val="20"/>
                <w:rtl w:val="0"/>
              </w:rPr>
              <w:t xml:space="preserve">Cuentas por pagar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9">
            <w:pPr>
              <w:spacing w:before="240" w:lineRule="auto"/>
              <w:ind w:left="2" w:hanging="2"/>
              <w:jc w:val="center"/>
              <w:rPr>
                <w:color w:val="000000"/>
                <w:sz w:val="20"/>
                <w:szCs w:val="20"/>
              </w:rPr>
            </w:pPr>
            <w:r w:rsidDel="00000000" w:rsidR="00000000" w:rsidRPr="00000000">
              <w:rPr>
                <w:color w:val="000000"/>
                <w:sz w:val="20"/>
                <w:szCs w:val="20"/>
                <w:rtl w:val="0"/>
              </w:rPr>
              <w:t xml:space="preserve">3.570.000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A">
            <w:pPr>
              <w:spacing w:before="240" w:lineRule="auto"/>
              <w:ind w:left="2" w:hanging="2"/>
              <w:jc w:val="center"/>
              <w:rPr>
                <w:color w:val="000000"/>
                <w:sz w:val="20"/>
                <w:szCs w:val="20"/>
              </w:rPr>
            </w:pPr>
            <w:r w:rsidDel="00000000" w:rsidR="00000000" w:rsidRPr="00000000">
              <w:rPr>
                <w:rtl w:val="0"/>
              </w:rPr>
            </w:r>
          </w:p>
        </w:tc>
      </w:tr>
      <w:tr>
        <w:trPr>
          <w:trHeight w:val="4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B">
            <w:pPr>
              <w:spacing w:before="240" w:lineRule="auto"/>
              <w:ind w:left="2" w:hanging="2"/>
              <w:jc w:val="center"/>
              <w:rPr>
                <w:color w:val="000000"/>
                <w:sz w:val="20"/>
                <w:szCs w:val="20"/>
              </w:rPr>
            </w:pPr>
            <w:r w:rsidDel="00000000" w:rsidR="00000000" w:rsidRPr="00000000">
              <w:rPr>
                <w:color w:val="000000"/>
                <w:sz w:val="20"/>
                <w:szCs w:val="20"/>
                <w:rtl w:val="0"/>
              </w:rPr>
              <w:t xml:space="preserve">Activo- Bancos Nacionales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C">
            <w:pPr>
              <w:spacing w:before="240" w:lineRule="auto"/>
              <w:ind w:left="2" w:hanging="2"/>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D">
            <w:pPr>
              <w:spacing w:before="240" w:lineRule="auto"/>
              <w:ind w:left="2" w:hanging="2"/>
              <w:jc w:val="center"/>
              <w:rPr>
                <w:color w:val="000000"/>
                <w:sz w:val="20"/>
                <w:szCs w:val="20"/>
              </w:rPr>
            </w:pPr>
            <w:r w:rsidDel="00000000" w:rsidR="00000000" w:rsidRPr="00000000">
              <w:rPr>
                <w:color w:val="000000"/>
                <w:sz w:val="20"/>
                <w:szCs w:val="20"/>
                <w:rtl w:val="0"/>
              </w:rPr>
              <w:t xml:space="preserve">3.570.000</w:t>
            </w:r>
          </w:p>
        </w:tc>
      </w:tr>
    </w:tbl>
    <w:p w:rsidR="00000000" w:rsidDel="00000000" w:rsidP="00000000" w:rsidRDefault="00000000" w:rsidRPr="00000000" w14:paraId="000000DE">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DF">
      <w:pPr>
        <w:spacing w:before="240" w:lineRule="auto"/>
        <w:ind w:left="2" w:hanging="2"/>
        <w:jc w:val="both"/>
        <w:rPr>
          <w:color w:val="000000"/>
          <w:sz w:val="20"/>
          <w:szCs w:val="20"/>
        </w:rPr>
      </w:pPr>
      <w:r w:rsidDel="00000000" w:rsidR="00000000" w:rsidRPr="00000000">
        <w:rPr>
          <w:b w:val="1"/>
          <w:color w:val="000000"/>
          <w:sz w:val="20"/>
          <w:szCs w:val="20"/>
          <w:rtl w:val="0"/>
        </w:rPr>
        <w:t xml:space="preserve">Nota:</w:t>
      </w:r>
      <w:r w:rsidDel="00000000" w:rsidR="00000000" w:rsidRPr="00000000">
        <w:rPr>
          <w:color w:val="000000"/>
          <w:sz w:val="20"/>
          <w:szCs w:val="20"/>
          <w:rtl w:val="0"/>
        </w:rPr>
        <w:t xml:space="preserve"> vale la pena aclarar que, aunque la norma internacional indica que todos los desembolsos deben reconocerse como gasto, queda a criterio de la entidad si, esta debe ser registrada como gastos o clasificarse como gastos pagados por anticipado.</w:t>
      </w:r>
    </w:p>
    <w:p w:rsidR="00000000" w:rsidDel="00000000" w:rsidP="00000000" w:rsidRDefault="00000000" w:rsidRPr="00000000" w14:paraId="000000E0">
      <w:pPr>
        <w:spacing w:before="240" w:lineRule="auto"/>
        <w:ind w:left="2" w:hanging="2"/>
        <w:jc w:val="both"/>
        <w:rPr>
          <w:color w:val="000000"/>
          <w:sz w:val="20"/>
          <w:szCs w:val="20"/>
        </w:rPr>
      </w:pPr>
      <w:r w:rsidDel="00000000" w:rsidR="00000000" w:rsidRPr="00000000">
        <w:rPr>
          <w:b w:val="1"/>
          <w:color w:val="000000"/>
          <w:sz w:val="20"/>
          <w:szCs w:val="20"/>
          <w:rtl w:val="0"/>
        </w:rPr>
        <w:t xml:space="preserve">Manejo de anticipos</w:t>
      </w:r>
      <w:r w:rsidDel="00000000" w:rsidR="00000000" w:rsidRPr="00000000">
        <w:rPr>
          <w:rtl w:val="0"/>
        </w:rPr>
      </w:r>
    </w:p>
    <w:p w:rsidR="00000000" w:rsidDel="00000000" w:rsidP="00000000" w:rsidRDefault="00000000" w:rsidRPr="00000000" w14:paraId="000000E1">
      <w:pPr>
        <w:spacing w:before="240" w:lineRule="auto"/>
        <w:ind w:left="2" w:hanging="2"/>
        <w:jc w:val="both"/>
        <w:rPr>
          <w:color w:val="000000"/>
          <w:sz w:val="20"/>
          <w:szCs w:val="20"/>
        </w:rPr>
      </w:pPr>
      <w:r w:rsidDel="00000000" w:rsidR="00000000" w:rsidRPr="00000000">
        <w:rPr>
          <w:color w:val="000000"/>
          <w:sz w:val="20"/>
          <w:szCs w:val="20"/>
          <w:rtl w:val="0"/>
        </w:rPr>
        <w:t xml:space="preserve">El 1 de enero de 20xx la empresa SABACO Ltda., adquirió una póliza de seguros contra </w:t>
      </w:r>
      <w:r w:rsidDel="00000000" w:rsidR="00000000" w:rsidRPr="00000000">
        <w:rPr>
          <w:sz w:val="20"/>
          <w:szCs w:val="20"/>
          <w:rtl w:val="0"/>
        </w:rPr>
        <w:t xml:space="preserve">incendios</w:t>
      </w:r>
      <w:r w:rsidDel="00000000" w:rsidR="00000000" w:rsidRPr="00000000">
        <w:rPr>
          <w:color w:val="000000"/>
          <w:sz w:val="20"/>
          <w:szCs w:val="20"/>
          <w:rtl w:val="0"/>
        </w:rPr>
        <w:t xml:space="preserve"> por 1 año, por valor de </w:t>
      </w:r>
      <w:r w:rsidDel="00000000" w:rsidR="00000000" w:rsidRPr="00000000">
        <w:rPr>
          <w:sz w:val="20"/>
          <w:szCs w:val="20"/>
          <w:rtl w:val="0"/>
        </w:rPr>
        <w:t xml:space="preserve">$4.000.000</w:t>
      </w:r>
      <w:r w:rsidDel="00000000" w:rsidR="00000000" w:rsidRPr="00000000">
        <w:rPr>
          <w:color w:val="000000"/>
          <w:sz w:val="20"/>
          <w:szCs w:val="20"/>
          <w:rtl w:val="0"/>
        </w:rPr>
        <w:t xml:space="preserve"> mediante cheque girado del banco Davivienda.</w:t>
      </w:r>
    </w:p>
    <w:p w:rsidR="00000000" w:rsidDel="00000000" w:rsidP="00000000" w:rsidRDefault="00000000" w:rsidRPr="00000000" w14:paraId="000000E2">
      <w:pPr>
        <w:spacing w:before="240" w:lineRule="auto"/>
        <w:ind w:left="2" w:hanging="2"/>
        <w:jc w:val="both"/>
        <w:rPr>
          <w:color w:val="000000"/>
          <w:sz w:val="20"/>
          <w:szCs w:val="20"/>
        </w:rPr>
      </w:pPr>
      <w:r w:rsidDel="00000000" w:rsidR="00000000" w:rsidRPr="00000000">
        <w:rPr>
          <w:b w:val="1"/>
          <w:color w:val="000000"/>
          <w:sz w:val="20"/>
          <w:szCs w:val="20"/>
          <w:rtl w:val="0"/>
        </w:rPr>
        <w:t xml:space="preserve">Reconocimiento compra póliza de seguros</w:t>
      </w:r>
      <w:r w:rsidDel="00000000" w:rsidR="00000000" w:rsidRPr="00000000">
        <w:rPr>
          <w:rtl w:val="0"/>
        </w:rPr>
      </w:r>
    </w:p>
    <w:p w:rsidR="00000000" w:rsidDel="00000000" w:rsidP="00000000" w:rsidRDefault="00000000" w:rsidRPr="00000000" w14:paraId="000000E3">
      <w:pPr>
        <w:spacing w:before="240" w:lineRule="auto"/>
        <w:ind w:left="2" w:hanging="2"/>
        <w:jc w:val="both"/>
        <w:rPr>
          <w:color w:val="000000"/>
          <w:sz w:val="20"/>
          <w:szCs w:val="20"/>
        </w:rPr>
      </w:pPr>
      <w:r w:rsidDel="00000000" w:rsidR="00000000" w:rsidRPr="00000000">
        <w:rPr>
          <w:rtl w:val="0"/>
        </w:rPr>
      </w:r>
    </w:p>
    <w:tbl>
      <w:tblPr>
        <w:tblStyle w:val="Table12"/>
        <w:tblW w:w="7372.0" w:type="dxa"/>
        <w:jc w:val="center"/>
        <w:tblLayout w:type="fixed"/>
        <w:tblLook w:val="0400"/>
      </w:tblPr>
      <w:tblGrid>
        <w:gridCol w:w="4212"/>
        <w:gridCol w:w="1368"/>
        <w:gridCol w:w="1792"/>
        <w:tblGridChange w:id="0">
          <w:tblGrid>
            <w:gridCol w:w="4212"/>
            <w:gridCol w:w="1368"/>
            <w:gridCol w:w="1792"/>
          </w:tblGrid>
        </w:tblGridChange>
      </w:tblGrid>
      <w:tr>
        <w:trPr>
          <w:trHeight w:val="251"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4">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E5">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E6">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503"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before="240" w:lineRule="auto"/>
              <w:ind w:left="2" w:hanging="2"/>
              <w:jc w:val="center"/>
              <w:rPr>
                <w:color w:val="000000"/>
                <w:sz w:val="20"/>
                <w:szCs w:val="20"/>
              </w:rPr>
            </w:pPr>
            <w:r w:rsidDel="00000000" w:rsidR="00000000" w:rsidRPr="00000000">
              <w:rPr>
                <w:color w:val="000000"/>
                <w:sz w:val="20"/>
                <w:szCs w:val="20"/>
                <w:rtl w:val="0"/>
              </w:rPr>
              <w:t xml:space="preserve">Activo- Póliza de Seguros- Incendios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8">
            <w:pPr>
              <w:spacing w:before="240" w:lineRule="auto"/>
              <w:ind w:left="2" w:hanging="2"/>
              <w:jc w:val="center"/>
              <w:rPr>
                <w:color w:val="000000"/>
                <w:sz w:val="20"/>
                <w:szCs w:val="20"/>
              </w:rPr>
            </w:pPr>
            <w:r w:rsidDel="00000000" w:rsidR="00000000" w:rsidRPr="00000000">
              <w:rPr>
                <w:color w:val="000000"/>
                <w:sz w:val="20"/>
                <w:szCs w:val="20"/>
                <w:rtl w:val="0"/>
              </w:rPr>
              <w:t xml:space="preserve">4.000.000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9">
            <w:pPr>
              <w:spacing w:before="240" w:lineRule="auto"/>
              <w:ind w:left="2" w:hanging="2"/>
              <w:jc w:val="center"/>
              <w:rPr>
                <w:color w:val="000000"/>
                <w:sz w:val="20"/>
                <w:szCs w:val="20"/>
              </w:rPr>
            </w:pPr>
            <w:r w:rsidDel="00000000" w:rsidR="00000000" w:rsidRPr="00000000">
              <w:rPr>
                <w:rtl w:val="0"/>
              </w:rPr>
            </w:r>
          </w:p>
        </w:tc>
      </w:tr>
      <w:tr>
        <w:trPr>
          <w:trHeight w:val="251"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before="240" w:lineRule="auto"/>
              <w:ind w:left="2" w:hanging="2"/>
              <w:jc w:val="center"/>
              <w:rPr>
                <w:color w:val="000000"/>
                <w:sz w:val="20"/>
                <w:szCs w:val="20"/>
              </w:rPr>
            </w:pPr>
            <w:r w:rsidDel="00000000" w:rsidR="00000000" w:rsidRPr="00000000">
              <w:rPr>
                <w:color w:val="000000"/>
                <w:sz w:val="20"/>
                <w:szCs w:val="20"/>
                <w:rtl w:val="0"/>
              </w:rPr>
              <w:t xml:space="preserve">Cuentas por Pagar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B">
            <w:pPr>
              <w:spacing w:before="240" w:lineRule="auto"/>
              <w:ind w:left="2" w:hanging="2"/>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C">
            <w:pPr>
              <w:spacing w:before="240" w:lineRule="auto"/>
              <w:ind w:left="2" w:hanging="2"/>
              <w:jc w:val="center"/>
              <w:rPr>
                <w:color w:val="000000"/>
                <w:sz w:val="20"/>
                <w:szCs w:val="20"/>
              </w:rPr>
            </w:pPr>
            <w:r w:rsidDel="00000000" w:rsidR="00000000" w:rsidRPr="00000000">
              <w:rPr>
                <w:color w:val="000000"/>
                <w:sz w:val="20"/>
                <w:szCs w:val="20"/>
                <w:rtl w:val="0"/>
              </w:rPr>
              <w:t xml:space="preserve">4.000.000</w:t>
            </w:r>
          </w:p>
        </w:tc>
      </w:tr>
    </w:tbl>
    <w:p w:rsidR="00000000" w:rsidDel="00000000" w:rsidP="00000000" w:rsidRDefault="00000000" w:rsidRPr="00000000" w14:paraId="000000ED">
      <w:pPr>
        <w:spacing w:before="240" w:lineRule="auto"/>
        <w:ind w:left="2" w:hanging="2"/>
        <w:jc w:val="both"/>
        <w:rPr>
          <w:b w:val="1"/>
          <w:color w:val="000000"/>
          <w:sz w:val="20"/>
          <w:szCs w:val="20"/>
        </w:rPr>
      </w:pPr>
      <w:r w:rsidDel="00000000" w:rsidR="00000000" w:rsidRPr="00000000">
        <w:rPr>
          <w:rtl w:val="0"/>
        </w:rPr>
      </w:r>
    </w:p>
    <w:p w:rsidR="00000000" w:rsidDel="00000000" w:rsidP="00000000" w:rsidRDefault="00000000" w:rsidRPr="00000000" w14:paraId="000000EE">
      <w:pPr>
        <w:spacing w:before="240" w:lineRule="auto"/>
        <w:ind w:left="2" w:hanging="2"/>
        <w:jc w:val="both"/>
        <w:rPr>
          <w:color w:val="000000"/>
          <w:sz w:val="20"/>
          <w:szCs w:val="20"/>
        </w:rPr>
      </w:pPr>
      <w:r w:rsidDel="00000000" w:rsidR="00000000" w:rsidRPr="00000000">
        <w:rPr>
          <w:b w:val="1"/>
          <w:color w:val="000000"/>
          <w:sz w:val="20"/>
          <w:szCs w:val="20"/>
          <w:rtl w:val="0"/>
        </w:rPr>
        <w:t xml:space="preserve">Momento del pago</w:t>
      </w:r>
      <w:r w:rsidDel="00000000" w:rsidR="00000000" w:rsidRPr="00000000">
        <w:rPr>
          <w:rtl w:val="0"/>
        </w:rPr>
      </w:r>
    </w:p>
    <w:p w:rsidR="00000000" w:rsidDel="00000000" w:rsidP="00000000" w:rsidRDefault="00000000" w:rsidRPr="00000000" w14:paraId="000000EF">
      <w:pPr>
        <w:spacing w:before="240" w:lineRule="auto"/>
        <w:ind w:left="2" w:hanging="2"/>
        <w:jc w:val="both"/>
        <w:rPr>
          <w:color w:val="000000"/>
          <w:sz w:val="20"/>
          <w:szCs w:val="20"/>
        </w:rPr>
      </w:pPr>
      <w:r w:rsidDel="00000000" w:rsidR="00000000" w:rsidRPr="00000000">
        <w:rPr>
          <w:rtl w:val="0"/>
        </w:rPr>
      </w:r>
    </w:p>
    <w:tbl>
      <w:tblPr>
        <w:tblStyle w:val="Table13"/>
        <w:tblW w:w="6532.0" w:type="dxa"/>
        <w:jc w:val="center"/>
        <w:tblLayout w:type="fixed"/>
        <w:tblLook w:val="0400"/>
      </w:tblPr>
      <w:tblGrid>
        <w:gridCol w:w="3681"/>
        <w:gridCol w:w="1417"/>
        <w:gridCol w:w="1434"/>
        <w:tblGridChange w:id="0">
          <w:tblGrid>
            <w:gridCol w:w="3681"/>
            <w:gridCol w:w="1417"/>
            <w:gridCol w:w="1434"/>
          </w:tblGrid>
        </w:tblGridChange>
      </w:tblGrid>
      <w:tr>
        <w:trPr>
          <w:trHeight w:val="248"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0">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F1">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F2">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473"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before="240" w:lineRule="auto"/>
              <w:ind w:left="2" w:hanging="2"/>
              <w:jc w:val="center"/>
              <w:rPr>
                <w:color w:val="000000"/>
                <w:sz w:val="20"/>
                <w:szCs w:val="20"/>
              </w:rPr>
            </w:pPr>
            <w:r w:rsidDel="00000000" w:rsidR="00000000" w:rsidRPr="00000000">
              <w:rPr>
                <w:color w:val="000000"/>
                <w:sz w:val="20"/>
                <w:szCs w:val="20"/>
                <w:rtl w:val="0"/>
              </w:rPr>
              <w:t xml:space="preserve">Cuentas por Pagar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4">
            <w:pPr>
              <w:spacing w:before="240" w:lineRule="auto"/>
              <w:ind w:left="2" w:hanging="2"/>
              <w:jc w:val="center"/>
              <w:rPr>
                <w:color w:val="000000"/>
                <w:sz w:val="20"/>
                <w:szCs w:val="20"/>
              </w:rPr>
            </w:pPr>
            <w:r w:rsidDel="00000000" w:rsidR="00000000" w:rsidRPr="00000000">
              <w:rPr>
                <w:color w:val="000000"/>
                <w:sz w:val="20"/>
                <w:szCs w:val="20"/>
                <w:rtl w:val="0"/>
              </w:rPr>
              <w:t xml:space="preserve">4.000.000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5">
            <w:pPr>
              <w:spacing w:before="240" w:lineRule="auto"/>
              <w:ind w:left="2" w:hanging="2"/>
              <w:jc w:val="center"/>
              <w:rPr>
                <w:color w:val="000000"/>
                <w:sz w:val="20"/>
                <w:szCs w:val="20"/>
              </w:rPr>
            </w:pPr>
            <w:r w:rsidDel="00000000" w:rsidR="00000000" w:rsidRPr="00000000">
              <w:rPr>
                <w:rtl w:val="0"/>
              </w:rPr>
            </w:r>
          </w:p>
        </w:tc>
      </w:tr>
      <w:tr>
        <w:trPr>
          <w:trHeight w:val="497"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before="240" w:lineRule="auto"/>
              <w:ind w:left="2" w:hanging="2"/>
              <w:jc w:val="center"/>
              <w:rPr>
                <w:color w:val="000000"/>
                <w:sz w:val="20"/>
                <w:szCs w:val="20"/>
              </w:rPr>
            </w:pPr>
            <w:r w:rsidDel="00000000" w:rsidR="00000000" w:rsidRPr="00000000">
              <w:rPr>
                <w:color w:val="000000"/>
                <w:sz w:val="20"/>
                <w:szCs w:val="20"/>
                <w:rtl w:val="0"/>
              </w:rPr>
              <w:t xml:space="preserve">Activo- Bancos Nacionales Davivienda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7">
            <w:pPr>
              <w:spacing w:before="240" w:lineRule="auto"/>
              <w:ind w:left="2" w:hanging="2"/>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8">
            <w:pPr>
              <w:spacing w:before="240" w:lineRule="auto"/>
              <w:ind w:left="2" w:hanging="2"/>
              <w:jc w:val="center"/>
              <w:rPr>
                <w:color w:val="000000"/>
                <w:sz w:val="20"/>
                <w:szCs w:val="20"/>
              </w:rPr>
            </w:pPr>
            <w:r w:rsidDel="00000000" w:rsidR="00000000" w:rsidRPr="00000000">
              <w:rPr>
                <w:color w:val="000000"/>
                <w:sz w:val="20"/>
                <w:szCs w:val="20"/>
                <w:rtl w:val="0"/>
              </w:rPr>
              <w:t xml:space="preserve">4.000.000</w:t>
            </w:r>
          </w:p>
        </w:tc>
      </w:tr>
    </w:tbl>
    <w:p w:rsidR="00000000" w:rsidDel="00000000" w:rsidP="00000000" w:rsidRDefault="00000000" w:rsidRPr="00000000" w14:paraId="000000F9">
      <w:pPr>
        <w:spacing w:before="240" w:lineRule="auto"/>
        <w:ind w:left="2" w:hanging="2"/>
        <w:jc w:val="both"/>
        <w:rPr>
          <w:color w:val="000000"/>
          <w:sz w:val="20"/>
          <w:szCs w:val="20"/>
          <w:vertAlign w:val="baseline"/>
        </w:rPr>
      </w:pPr>
      <w:r w:rsidDel="00000000" w:rsidR="00000000" w:rsidRPr="00000000">
        <w:rPr>
          <w:rtl w:val="0"/>
        </w:rPr>
      </w:r>
    </w:p>
    <w:p w:rsidR="00000000" w:rsidDel="00000000" w:rsidP="00000000" w:rsidRDefault="00000000" w:rsidRPr="00000000" w14:paraId="000000FA">
      <w:pPr>
        <w:spacing w:before="240" w:lineRule="auto"/>
        <w:ind w:left="2" w:hanging="2"/>
        <w:jc w:val="both"/>
        <w:rPr>
          <w:color w:val="000000"/>
          <w:sz w:val="20"/>
          <w:szCs w:val="20"/>
        </w:rPr>
      </w:pPr>
      <w:r w:rsidDel="00000000" w:rsidR="00000000" w:rsidRPr="00000000">
        <w:rPr>
          <w:color w:val="000000"/>
          <w:sz w:val="20"/>
          <w:szCs w:val="20"/>
          <w:rtl w:val="0"/>
        </w:rPr>
        <w:t xml:space="preserve">La empresa mensualmente debe hacer un asiento de ajuste para reconocer en el estado de resultados el gasto por póliza de seguros de cada periodo así: </w:t>
      </w:r>
    </w:p>
    <w:p w:rsidR="00000000" w:rsidDel="00000000" w:rsidP="00000000" w:rsidRDefault="00000000" w:rsidRPr="00000000" w14:paraId="000000FB">
      <w:pPr>
        <w:spacing w:before="240" w:lineRule="auto"/>
        <w:ind w:left="2" w:hanging="2"/>
        <w:jc w:val="both"/>
        <w:rPr>
          <w:color w:val="000000"/>
          <w:sz w:val="20"/>
          <w:szCs w:val="20"/>
        </w:rPr>
      </w:pPr>
      <w:r w:rsidDel="00000000" w:rsidR="00000000" w:rsidRPr="00000000">
        <w:rPr>
          <w:rtl w:val="0"/>
        </w:rPr>
      </w:r>
    </w:p>
    <w:p w:rsidR="00000000" w:rsidDel="00000000" w:rsidP="00000000" w:rsidRDefault="00000000" w:rsidRPr="00000000" w14:paraId="000000FC">
      <w:pPr>
        <w:spacing w:before="240" w:lineRule="auto"/>
        <w:ind w:left="2" w:hanging="2"/>
        <w:jc w:val="both"/>
        <w:rPr>
          <w:color w:val="000000"/>
          <w:sz w:val="20"/>
          <w:szCs w:val="20"/>
        </w:rPr>
      </w:pPr>
      <w:r w:rsidDel="00000000" w:rsidR="00000000" w:rsidRPr="00000000">
        <w:rPr>
          <w:color w:val="000000"/>
          <w:sz w:val="20"/>
          <w:szCs w:val="20"/>
          <w:rtl w:val="0"/>
        </w:rPr>
        <w:t xml:space="preserve">Enero 31 del año 20xx</w:t>
      </w:r>
    </w:p>
    <w:p w:rsidR="00000000" w:rsidDel="00000000" w:rsidP="00000000" w:rsidRDefault="00000000" w:rsidRPr="00000000" w14:paraId="000000FD">
      <w:pPr>
        <w:spacing w:before="240" w:lineRule="auto"/>
        <w:ind w:left="2" w:hanging="2"/>
        <w:jc w:val="both"/>
        <w:rPr>
          <w:color w:val="000000"/>
          <w:sz w:val="20"/>
          <w:szCs w:val="20"/>
        </w:rPr>
      </w:pPr>
      <w:r w:rsidDel="00000000" w:rsidR="00000000" w:rsidRPr="00000000">
        <w:rPr>
          <w:rtl w:val="0"/>
        </w:rPr>
      </w:r>
    </w:p>
    <w:tbl>
      <w:tblPr>
        <w:tblStyle w:val="Table14"/>
        <w:tblW w:w="7088.000000000001" w:type="dxa"/>
        <w:jc w:val="center"/>
        <w:tblLayout w:type="fixed"/>
        <w:tblLook w:val="0400"/>
      </w:tblPr>
      <w:tblGrid>
        <w:gridCol w:w="3781"/>
        <w:gridCol w:w="1748"/>
        <w:gridCol w:w="1559"/>
        <w:tblGridChange w:id="0">
          <w:tblGrid>
            <w:gridCol w:w="3781"/>
            <w:gridCol w:w="1748"/>
            <w:gridCol w:w="1559"/>
          </w:tblGrid>
        </w:tblGridChange>
      </w:tblGrid>
      <w:tr>
        <w:trPr>
          <w:trHeight w:val="221"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E">
            <w:pPr>
              <w:spacing w:before="240" w:lineRule="auto"/>
              <w:ind w:left="2" w:hanging="2"/>
              <w:jc w:val="center"/>
              <w:rPr>
                <w:color w:val="000000"/>
                <w:sz w:val="20"/>
                <w:szCs w:val="20"/>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FF">
            <w:pPr>
              <w:spacing w:before="240" w:lineRule="auto"/>
              <w:ind w:left="2" w:hanging="2"/>
              <w:jc w:val="center"/>
              <w:rPr>
                <w:color w:val="000000"/>
                <w:sz w:val="20"/>
                <w:szCs w:val="20"/>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00">
            <w:pPr>
              <w:spacing w:before="240" w:lineRule="auto"/>
              <w:ind w:left="2" w:hanging="2"/>
              <w:jc w:val="center"/>
              <w:rPr>
                <w:color w:val="000000"/>
                <w:sz w:val="20"/>
                <w:szCs w:val="20"/>
              </w:rPr>
            </w:pPr>
            <w:r w:rsidDel="00000000" w:rsidR="00000000" w:rsidRPr="00000000">
              <w:rPr>
                <w:b w:val="1"/>
                <w:color w:val="000000"/>
                <w:sz w:val="20"/>
                <w:szCs w:val="20"/>
                <w:rtl w:val="0"/>
              </w:rPr>
              <w:t xml:space="preserve">Haber</w:t>
            </w:r>
            <w:r w:rsidDel="00000000" w:rsidR="00000000" w:rsidRPr="00000000">
              <w:rPr>
                <w:rtl w:val="0"/>
              </w:rPr>
            </w:r>
          </w:p>
        </w:tc>
      </w:tr>
      <w:tr>
        <w:trPr>
          <w:trHeight w:val="442"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before="240" w:lineRule="auto"/>
              <w:ind w:left="2" w:hanging="2"/>
              <w:jc w:val="center"/>
              <w:rPr>
                <w:color w:val="000000"/>
                <w:sz w:val="20"/>
                <w:szCs w:val="20"/>
              </w:rPr>
            </w:pPr>
            <w:r w:rsidDel="00000000" w:rsidR="00000000" w:rsidRPr="00000000">
              <w:rPr>
                <w:color w:val="000000"/>
                <w:sz w:val="20"/>
                <w:szCs w:val="20"/>
                <w:rtl w:val="0"/>
              </w:rPr>
              <w:t xml:space="preserve">Gasto - Póliza de Seguros- Incendios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2">
            <w:pPr>
              <w:spacing w:before="240" w:lineRule="auto"/>
              <w:ind w:left="2" w:hanging="2"/>
              <w:jc w:val="center"/>
              <w:rPr>
                <w:color w:val="000000"/>
                <w:sz w:val="20"/>
                <w:szCs w:val="20"/>
              </w:rPr>
            </w:pPr>
            <w:r w:rsidDel="00000000" w:rsidR="00000000" w:rsidRPr="00000000">
              <w:rPr>
                <w:color w:val="000000"/>
                <w:sz w:val="20"/>
                <w:szCs w:val="20"/>
                <w:rtl w:val="0"/>
              </w:rPr>
              <w:t xml:space="preserve">333.333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3">
            <w:pPr>
              <w:spacing w:before="240" w:lineRule="auto"/>
              <w:ind w:left="2" w:hanging="2"/>
              <w:jc w:val="center"/>
              <w:rPr>
                <w:color w:val="000000"/>
                <w:sz w:val="20"/>
                <w:szCs w:val="20"/>
              </w:rPr>
            </w:pPr>
            <w:r w:rsidDel="00000000" w:rsidR="00000000" w:rsidRPr="00000000">
              <w:rPr>
                <w:rtl w:val="0"/>
              </w:rPr>
            </w:r>
          </w:p>
        </w:tc>
      </w:tr>
      <w:tr>
        <w:trPr>
          <w:trHeight w:val="442"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before="240" w:lineRule="auto"/>
              <w:ind w:left="2" w:hanging="2"/>
              <w:jc w:val="center"/>
              <w:rPr>
                <w:color w:val="000000"/>
                <w:sz w:val="20"/>
                <w:szCs w:val="20"/>
              </w:rPr>
            </w:pPr>
            <w:r w:rsidDel="00000000" w:rsidR="00000000" w:rsidRPr="00000000">
              <w:rPr>
                <w:color w:val="000000"/>
                <w:sz w:val="20"/>
                <w:szCs w:val="20"/>
                <w:rtl w:val="0"/>
              </w:rPr>
              <w:t xml:space="preserve">Activo Póliza de Seguros- Incendios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5">
            <w:pPr>
              <w:spacing w:before="240" w:lineRule="auto"/>
              <w:ind w:left="2" w:hanging="2"/>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6">
            <w:pPr>
              <w:spacing w:before="240" w:lineRule="auto"/>
              <w:ind w:left="2" w:hanging="2"/>
              <w:jc w:val="center"/>
              <w:rPr>
                <w:color w:val="000000"/>
                <w:sz w:val="20"/>
                <w:szCs w:val="20"/>
              </w:rPr>
            </w:pPr>
            <w:r w:rsidDel="00000000" w:rsidR="00000000" w:rsidRPr="00000000">
              <w:rPr>
                <w:color w:val="000000"/>
                <w:sz w:val="20"/>
                <w:szCs w:val="20"/>
                <w:rtl w:val="0"/>
              </w:rPr>
              <w:t xml:space="preserve">333.333</w:t>
            </w:r>
          </w:p>
        </w:tc>
      </w:tr>
    </w:tbl>
    <w:p w:rsidR="00000000" w:rsidDel="00000000" w:rsidP="00000000" w:rsidRDefault="00000000" w:rsidRPr="00000000" w14:paraId="00000107">
      <w:pPr>
        <w:spacing w:before="240" w:lineRule="auto"/>
        <w:ind w:left="2" w:hanging="2"/>
        <w:jc w:val="both"/>
        <w:rPr>
          <w:color w:val="000000"/>
          <w:sz w:val="20"/>
          <w:szCs w:val="20"/>
        </w:rPr>
      </w:pPr>
      <w:r w:rsidDel="00000000" w:rsidR="00000000" w:rsidRPr="00000000">
        <w:rPr>
          <w:rtl w:val="0"/>
        </w:rPr>
      </w:r>
    </w:p>
    <w:p w:rsidR="00000000" w:rsidDel="00000000" w:rsidP="00000000" w:rsidRDefault="00000000" w:rsidRPr="00000000" w14:paraId="00000108">
      <w:pPr>
        <w:spacing w:before="240" w:lineRule="auto"/>
        <w:ind w:left="2" w:hanging="2"/>
        <w:jc w:val="both"/>
        <w:rPr>
          <w:color w:val="000000"/>
          <w:sz w:val="20"/>
          <w:szCs w:val="20"/>
        </w:rPr>
      </w:pPr>
      <w:r w:rsidDel="00000000" w:rsidR="00000000" w:rsidRPr="00000000">
        <w:rPr>
          <w:color w:val="000000"/>
          <w:sz w:val="20"/>
          <w:szCs w:val="20"/>
          <w:rtl w:val="0"/>
        </w:rPr>
        <w:t xml:space="preserve">Estos pagos por anticipado se deben ir amortizando hasta finalizar el tiempo establecido. </w:t>
      </w:r>
    </w:p>
    <w:p w:rsidR="00000000" w:rsidDel="00000000" w:rsidP="00000000" w:rsidRDefault="00000000" w:rsidRPr="00000000" w14:paraId="00000109">
      <w:pPr>
        <w:spacing w:before="240" w:lineRule="auto"/>
        <w:ind w:left="2" w:hanging="2"/>
        <w:rPr>
          <w:color w:val="000000"/>
          <w:sz w:val="20"/>
          <w:szCs w:val="20"/>
        </w:rPr>
      </w:pPr>
      <w:r w:rsidDel="00000000" w:rsidR="00000000" w:rsidRPr="00000000">
        <w:rPr>
          <w:b w:val="1"/>
          <w:color w:val="000000"/>
          <w:sz w:val="20"/>
          <w:szCs w:val="20"/>
          <w:rtl w:val="0"/>
        </w:rPr>
        <w:t xml:space="preserve">1.2.4. Retiros, enajenaciones y revelación.</w:t>
      </w:r>
      <w:r w:rsidDel="00000000" w:rsidR="00000000" w:rsidRPr="00000000">
        <w:rPr>
          <w:rtl w:val="0"/>
        </w:rPr>
      </w:r>
    </w:p>
    <w:p w:rsidR="00000000" w:rsidDel="00000000" w:rsidP="00000000" w:rsidRDefault="00000000" w:rsidRPr="00000000" w14:paraId="0000010A">
      <w:pPr>
        <w:numPr>
          <w:ilvl w:val="0"/>
          <w:numId w:val="2"/>
        </w:numPr>
        <w:spacing w:before="240" w:lineRule="auto"/>
        <w:ind w:left="2" w:hanging="2"/>
        <w:jc w:val="both"/>
        <w:rPr>
          <w:sz w:val="20"/>
          <w:szCs w:val="20"/>
        </w:rPr>
      </w:pPr>
      <w:r w:rsidDel="00000000" w:rsidR="00000000" w:rsidRPr="00000000">
        <w:rPr>
          <w:b w:val="1"/>
          <w:sz w:val="20"/>
          <w:szCs w:val="20"/>
          <w:rtl w:val="0"/>
        </w:rPr>
        <w:t xml:space="preserve">Retiros y enajenaciones</w:t>
      </w:r>
      <w:r w:rsidDel="00000000" w:rsidR="00000000" w:rsidRPr="00000000">
        <w:rPr>
          <w:rtl w:val="0"/>
        </w:rPr>
      </w:r>
    </w:p>
    <w:p w:rsidR="00000000" w:rsidDel="00000000" w:rsidP="00000000" w:rsidRDefault="00000000" w:rsidRPr="00000000" w14:paraId="0000010B">
      <w:pPr>
        <w:spacing w:before="240" w:lineRule="auto"/>
        <w:ind w:left="2" w:hanging="2"/>
        <w:jc w:val="both"/>
        <w:rPr>
          <w:color w:val="000000"/>
          <w:sz w:val="20"/>
          <w:szCs w:val="20"/>
        </w:rPr>
      </w:pPr>
      <w:r w:rsidDel="00000000" w:rsidR="00000000" w:rsidRPr="00000000">
        <w:rPr>
          <w:color w:val="000000"/>
          <w:sz w:val="20"/>
          <w:szCs w:val="20"/>
          <w:rtl w:val="0"/>
        </w:rPr>
        <w:t xml:space="preserve">Un activo intangible es dado de baja cuando es enajenado, también cuando no se esperan retribuciones o beneficios económicos en el futuro. </w:t>
      </w:r>
    </w:p>
    <w:p w:rsidR="00000000" w:rsidDel="00000000" w:rsidP="00000000" w:rsidRDefault="00000000" w:rsidRPr="00000000" w14:paraId="0000010C">
      <w:pPr>
        <w:spacing w:before="240" w:lineRule="auto"/>
        <w:ind w:left="2" w:hanging="2"/>
        <w:jc w:val="both"/>
        <w:rPr>
          <w:color w:val="000000"/>
          <w:sz w:val="20"/>
          <w:szCs w:val="20"/>
        </w:rPr>
      </w:pPr>
      <w:r w:rsidDel="00000000" w:rsidR="00000000" w:rsidRPr="00000000">
        <w:rPr>
          <w:color w:val="000000"/>
          <w:sz w:val="20"/>
          <w:szCs w:val="20"/>
          <w:rtl w:val="0"/>
        </w:rPr>
        <w:t xml:space="preserve">Cuando se da de baja un activo, debe ser reconocido en el estado de resultados, medido por la diferencia entre el valor en libros del activo y/o por cualquier flujo por efecto de la enajenación (si existen).</w:t>
      </w:r>
    </w:p>
    <w:p w:rsidR="00000000" w:rsidDel="00000000" w:rsidP="00000000" w:rsidRDefault="00000000" w:rsidRPr="00000000" w14:paraId="0000010D">
      <w:pPr>
        <w:numPr>
          <w:ilvl w:val="0"/>
          <w:numId w:val="2"/>
        </w:numPr>
        <w:spacing w:before="240" w:lineRule="auto"/>
        <w:ind w:left="2" w:hanging="2"/>
        <w:jc w:val="both"/>
        <w:rPr>
          <w:color w:val="000000"/>
          <w:sz w:val="20"/>
          <w:szCs w:val="20"/>
        </w:rPr>
      </w:pPr>
      <w:r w:rsidDel="00000000" w:rsidR="00000000" w:rsidRPr="00000000">
        <w:rPr>
          <w:b w:val="1"/>
          <w:color w:val="000000"/>
          <w:sz w:val="20"/>
          <w:szCs w:val="20"/>
          <w:rtl w:val="0"/>
        </w:rPr>
        <w:t xml:space="preserve">Revelación</w:t>
      </w:r>
      <w:r w:rsidDel="00000000" w:rsidR="00000000" w:rsidRPr="00000000">
        <w:rPr>
          <w:rtl w:val="0"/>
        </w:rPr>
      </w:r>
    </w:p>
    <w:p w:rsidR="00000000" w:rsidDel="00000000" w:rsidP="00000000" w:rsidRDefault="00000000" w:rsidRPr="00000000" w14:paraId="0000010E">
      <w:pPr>
        <w:spacing w:before="240" w:lineRule="auto"/>
        <w:ind w:left="2" w:hanging="2"/>
        <w:jc w:val="both"/>
        <w:rPr>
          <w:color w:val="000000"/>
          <w:sz w:val="20"/>
          <w:szCs w:val="20"/>
        </w:rPr>
      </w:pPr>
      <w:r w:rsidDel="00000000" w:rsidR="00000000" w:rsidRPr="00000000">
        <w:rPr>
          <w:color w:val="000000"/>
          <w:sz w:val="20"/>
          <w:szCs w:val="20"/>
          <w:rtl w:val="0"/>
        </w:rPr>
        <w:t xml:space="preserve">La revelación de los activos intangibles debe incluir: las bases de medición, el método de amortización, las vidas útiles o las tasas de amortización utilizadas, conciliación de los movimientos del período para cada clase de activo intangible, método de medición (Costo / revaluación), desembolsos por investigación y desarrollo entre otros.</w:t>
      </w:r>
    </w:p>
    <w:p w:rsidR="00000000" w:rsidDel="00000000" w:rsidP="00000000" w:rsidRDefault="00000000" w:rsidRPr="00000000" w14:paraId="0000010F">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11">
      <w:pPr>
        <w:spacing w:before="240" w:lineRule="auto"/>
        <w:ind w:left="426" w:firstLine="0"/>
        <w:jc w:val="both"/>
        <w:rPr>
          <w:color w:val="7f7f7f"/>
          <w:sz w:val="20"/>
          <w:szCs w:val="20"/>
        </w:rPr>
      </w:pPr>
      <w:r w:rsidDel="00000000" w:rsidR="00000000" w:rsidRPr="00000000">
        <w:rPr>
          <w:rtl w:val="0"/>
        </w:rPr>
      </w:r>
    </w:p>
    <w:tbl>
      <w:tblPr>
        <w:tblStyle w:val="Table1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trHeight w:val="298" w:hRule="atLeast"/>
        </w:trPr>
        <w:tc>
          <w:tcPr>
            <w:gridSpan w:val="2"/>
            <w:shd w:fill="fac896" w:val="clear"/>
            <w:vAlign w:val="center"/>
          </w:tcPr>
          <w:p w:rsidR="00000000" w:rsidDel="00000000" w:rsidP="00000000" w:rsidRDefault="00000000" w:rsidRPr="00000000" w14:paraId="00000112">
            <w:pPr>
              <w:spacing w:befor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trHeight w:val="611" w:hRule="atLeast"/>
        </w:trPr>
        <w:tc>
          <w:tcPr>
            <w:shd w:fill="fac896" w:val="clear"/>
            <w:vAlign w:val="center"/>
          </w:tcPr>
          <w:p w:rsidR="00000000" w:rsidDel="00000000" w:rsidP="00000000" w:rsidRDefault="00000000" w:rsidRPr="00000000" w14:paraId="00000114">
            <w:pPr>
              <w:spacing w:before="240" w:lineRule="auto"/>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115">
            <w:pPr>
              <w:spacing w:before="240" w:lineRule="auto"/>
              <w:rPr>
                <w:b w:val="1"/>
                <w:color w:val="000000"/>
                <w:sz w:val="20"/>
                <w:szCs w:val="20"/>
              </w:rPr>
            </w:pPr>
            <w:r w:rsidDel="00000000" w:rsidR="00000000" w:rsidRPr="00000000">
              <w:rPr>
                <w:b w:val="1"/>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116">
            <w:pPr>
              <w:spacing w:before="240" w:lineRule="auto"/>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17">
            <w:pPr>
              <w:spacing w:before="240" w:lineRule="auto"/>
              <w:rPr>
                <w:b w:val="1"/>
                <w:color w:val="000000"/>
                <w:sz w:val="20"/>
                <w:szCs w:val="20"/>
              </w:rPr>
            </w:pPr>
            <w:r w:rsidDel="00000000" w:rsidR="00000000" w:rsidRPr="00000000">
              <w:rPr>
                <w:b w:val="1"/>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118">
            <w:pPr>
              <w:spacing w:before="240" w:lineRule="auto"/>
              <w:jc w:val="cente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19">
            <w:pPr>
              <w:spacing w:before="240" w:lineRule="auto"/>
              <w:rPr>
                <w:color w:val="000000"/>
                <w:sz w:val="20"/>
                <w:szCs w:val="20"/>
              </w:rPr>
            </w:pPr>
            <w:r w:rsidDel="00000000" w:rsidR="00000000" w:rsidRPr="00000000">
              <w:rPr>
                <w:sz w:val="20"/>
                <w:szCs w:val="20"/>
              </w:rPr>
              <w:drawing>
                <wp:inline distB="0" distT="0" distL="0" distR="0">
                  <wp:extent cx="4169410" cy="2410460"/>
                  <wp:effectExtent b="0" l="0" r="0" t="0"/>
                  <wp:docPr id="8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trHeight w:val="719" w:hRule="atLeast"/>
        </w:trPr>
        <w:tc>
          <w:tcPr>
            <w:shd w:fill="fac896" w:val="clear"/>
            <w:vAlign w:val="center"/>
          </w:tcPr>
          <w:p w:rsidR="00000000" w:rsidDel="00000000" w:rsidP="00000000" w:rsidRDefault="00000000" w:rsidRPr="00000000" w14:paraId="0000011A">
            <w:pPr>
              <w:spacing w:before="240" w:lineRule="auto"/>
              <w:jc w:val="center"/>
              <w:rPr>
                <w:b w:val="1"/>
                <w:color w:val="000000"/>
                <w:sz w:val="20"/>
                <w:szCs w:val="20"/>
              </w:rPr>
            </w:pPr>
            <w:r w:rsidDel="00000000" w:rsidR="00000000" w:rsidRPr="00000000">
              <w:rPr>
                <w:b w:val="1"/>
                <w:color w:val="000000"/>
                <w:sz w:val="20"/>
                <w:szCs w:val="20"/>
                <w:rtl w:val="0"/>
              </w:rPr>
              <w:t xml:space="preserve">Archivo de la actividad (Anexo donde se describe la actividad propuesta)</w:t>
            </w:r>
          </w:p>
        </w:tc>
        <w:tc>
          <w:tcPr>
            <w:shd w:fill="auto" w:val="clear"/>
            <w:vAlign w:val="center"/>
          </w:tcPr>
          <w:p w:rsidR="00000000" w:rsidDel="00000000" w:rsidP="00000000" w:rsidRDefault="00000000" w:rsidRPr="00000000" w14:paraId="0000011B">
            <w:pPr>
              <w:spacing w:before="240" w:lineRule="auto"/>
              <w:rPr>
                <w:b w:val="1"/>
                <w:color w:val="000000"/>
                <w:sz w:val="20"/>
                <w:szCs w:val="20"/>
              </w:rPr>
            </w:pPr>
            <w:r w:rsidDel="00000000" w:rsidR="00000000" w:rsidRPr="00000000">
              <w:rPr>
                <w:b w:val="1"/>
                <w:color w:val="000000"/>
                <w:sz w:val="20"/>
                <w:szCs w:val="20"/>
                <w:rtl w:val="0"/>
              </w:rPr>
              <w:t xml:space="preserve">N/A</w:t>
            </w:r>
          </w:p>
        </w:tc>
      </w:tr>
    </w:tbl>
    <w:p w:rsidR="00000000" w:rsidDel="00000000" w:rsidP="00000000" w:rsidRDefault="00000000" w:rsidRPr="00000000" w14:paraId="0000011C">
      <w:pPr>
        <w:spacing w:before="24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1E">
      <w:pPr>
        <w:spacing w:before="240" w:lineRule="auto"/>
        <w:rPr>
          <w:sz w:val="20"/>
          <w:szCs w:val="20"/>
        </w:rPr>
      </w:pPr>
      <w:r w:rsidDel="00000000" w:rsidR="00000000" w:rsidRPr="00000000">
        <w:rPr>
          <w:rtl w:val="0"/>
        </w:rPr>
      </w:r>
    </w:p>
    <w:tbl>
      <w:tblPr>
        <w:tblStyle w:val="Table1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11F">
            <w:pPr>
              <w:spacing w:before="24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0">
            <w:pPr>
              <w:spacing w:before="24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1">
            <w:pPr>
              <w:spacing w:before="240" w:lineRule="auto"/>
              <w:jc w:val="center"/>
              <w:rPr>
                <w:b w:val="1"/>
                <w:sz w:val="20"/>
                <w:szCs w:val="20"/>
              </w:rPr>
            </w:pPr>
            <w:r w:rsidDel="00000000" w:rsidR="00000000" w:rsidRPr="00000000">
              <w:rPr>
                <w:b w:val="1"/>
                <w:sz w:val="20"/>
                <w:szCs w:val="20"/>
                <w:rtl w:val="0"/>
              </w:rPr>
              <w:t xml:space="preserve">Tipo de material   (Video,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2">
            <w:pPr>
              <w:spacing w:before="240" w:lineRule="auto"/>
              <w:jc w:val="center"/>
              <w:rPr>
                <w:b w:val="1"/>
                <w:sz w:val="20"/>
                <w:szCs w:val="20"/>
              </w:rPr>
            </w:pPr>
            <w:r w:rsidDel="00000000" w:rsidR="00000000" w:rsidRPr="00000000">
              <w:rPr>
                <w:b w:val="1"/>
                <w:sz w:val="20"/>
                <w:szCs w:val="20"/>
                <w:rtl w:val="0"/>
              </w:rPr>
              <w:t xml:space="preserve">Enlace del Recurso o Archivo del documento o material</w:t>
            </w:r>
          </w:p>
        </w:tc>
      </w:tr>
      <w:tr>
        <w:trPr>
          <w:trHeight w:val="1683" w:hRule="atLeast"/>
        </w:trPr>
        <w:tc>
          <w:tcPr>
            <w:tcMar>
              <w:top w:w="100.0" w:type="dxa"/>
              <w:left w:w="100.0" w:type="dxa"/>
              <w:bottom w:w="100.0" w:type="dxa"/>
              <w:right w:w="100.0" w:type="dxa"/>
            </w:tcMar>
            <w:vAlign w:val="center"/>
          </w:tcPr>
          <w:p w:rsidR="00000000" w:rsidDel="00000000" w:rsidP="00000000" w:rsidRDefault="00000000" w:rsidRPr="00000000" w14:paraId="00000123">
            <w:pPr>
              <w:spacing w:before="240" w:lineRule="auto"/>
              <w:jc w:val="both"/>
              <w:rPr>
                <w:sz w:val="20"/>
                <w:szCs w:val="20"/>
              </w:rPr>
            </w:pPr>
            <w:r w:rsidDel="00000000" w:rsidR="00000000" w:rsidRPr="00000000">
              <w:rPr>
                <w:sz w:val="20"/>
                <w:szCs w:val="20"/>
                <w:rtl w:val="0"/>
              </w:rPr>
              <w:t xml:space="preserve">Estándares/normas internacionales de información financiera (IFRS7NIIF).</w:t>
            </w:r>
          </w:p>
        </w:tc>
        <w:tc>
          <w:tcPr>
            <w:tcMar>
              <w:top w:w="100.0" w:type="dxa"/>
              <w:left w:w="100.0" w:type="dxa"/>
              <w:bottom w:w="100.0" w:type="dxa"/>
              <w:right w:w="100.0" w:type="dxa"/>
            </w:tcMar>
          </w:tcPr>
          <w:p w:rsidR="00000000" w:rsidDel="00000000" w:rsidP="00000000" w:rsidRDefault="00000000" w:rsidRPr="00000000" w14:paraId="00000124">
            <w:pPr>
              <w:spacing w:before="240" w:lineRule="auto"/>
              <w:jc w:val="both"/>
              <w:rPr>
                <w:sz w:val="20"/>
                <w:szCs w:val="20"/>
              </w:rPr>
            </w:pPr>
            <w:r w:rsidDel="00000000" w:rsidR="00000000" w:rsidRPr="00000000">
              <w:rPr>
                <w:sz w:val="20"/>
                <w:szCs w:val="20"/>
                <w:rtl w:val="0"/>
              </w:rPr>
              <w:t xml:space="preserve">Estándares/normas internacionales de información financiera (IFRS7NIIF). (pp. 387-395). (3a edición ed.).</w:t>
            </w:r>
            <w:r w:rsidDel="00000000" w:rsidR="00000000" w:rsidRPr="00000000">
              <w:rPr>
                <w:b w:val="1"/>
                <w:sz w:val="20"/>
                <w:szCs w:val="20"/>
                <w:rtl w:val="0"/>
              </w:rPr>
              <w:t xml:space="preserve"> </w:t>
            </w:r>
            <w:r w:rsidDel="00000000" w:rsidR="00000000" w:rsidRPr="00000000">
              <w:rPr>
                <w:sz w:val="20"/>
                <w:szCs w:val="20"/>
                <w:rtl w:val="0"/>
              </w:rPr>
              <w:t xml:space="preserve">Bogotá: ECOE Ediciones</w:t>
            </w:r>
          </w:p>
        </w:tc>
        <w:tc>
          <w:tcPr>
            <w:tcMar>
              <w:top w:w="100.0" w:type="dxa"/>
              <w:left w:w="100.0" w:type="dxa"/>
              <w:bottom w:w="100.0" w:type="dxa"/>
              <w:right w:w="100.0" w:type="dxa"/>
            </w:tcMar>
            <w:vAlign w:val="center"/>
          </w:tcPr>
          <w:p w:rsidR="00000000" w:rsidDel="00000000" w:rsidP="00000000" w:rsidRDefault="00000000" w:rsidRPr="00000000" w14:paraId="00000125">
            <w:pPr>
              <w:spacing w:before="240" w:lineRule="auto"/>
              <w:jc w:val="cente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126">
            <w:pPr>
              <w:ind w:left="2" w:hanging="2"/>
              <w:jc w:val="center"/>
              <w:rPr>
                <w:color w:val="000000"/>
                <w:sz w:val="20"/>
                <w:szCs w:val="20"/>
                <w:highlight w:val="white"/>
              </w:rPr>
            </w:pPr>
            <w:hyperlink r:id="rId10">
              <w:r w:rsidDel="00000000" w:rsidR="00000000" w:rsidRPr="00000000">
                <w:rPr>
                  <w:color w:val="0000ff"/>
                  <w:sz w:val="20"/>
                  <w:szCs w:val="20"/>
                  <w:highlight w:val="white"/>
                  <w:u w:val="single"/>
                  <w:rtl w:val="0"/>
                </w:rPr>
                <w:t xml:space="preserve">https://ebookcentraroquestcom.bdigital.sena.edu.co/lib/senavirtualsp/detail.action?docID=3161303</w:t>
              </w:r>
            </w:hyperlink>
            <w:r w:rsidDel="00000000" w:rsidR="00000000" w:rsidRPr="00000000">
              <w:rPr>
                <w:color w:val="000000"/>
                <w:sz w:val="20"/>
                <w:szCs w:val="20"/>
                <w:highlight w:val="white"/>
                <w:rtl w:val="0"/>
              </w:rPr>
              <w:t xml:space="preserve">.</w:t>
            </w:r>
          </w:p>
        </w:tc>
      </w:tr>
    </w:tbl>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240" w:lineRule="auto"/>
        <w:ind w:left="426" w:firstLine="0"/>
        <w:jc w:val="both"/>
        <w:rPr>
          <w:color w:val="000000"/>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129">
            <w:pPr>
              <w:spacing w:before="24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A">
            <w:pPr>
              <w:spacing w:before="240" w:lineRule="auto"/>
              <w:jc w:val="center"/>
              <w:rPr>
                <w:b w:val="1"/>
                <w:color w:val="000000"/>
                <w:sz w:val="20"/>
                <w:szCs w:val="20"/>
              </w:rPr>
            </w:pPr>
            <w:r w:rsidDel="00000000" w:rsidR="00000000" w:rsidRPr="00000000">
              <w:rPr>
                <w:b w:val="1"/>
                <w:color w:val="000000"/>
                <w:sz w:val="20"/>
                <w:szCs w:val="20"/>
                <w:rtl w:val="0"/>
              </w:rPr>
              <w:t xml:space="preserve">SIGNIFICADO</w:t>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2B">
            <w:pPr>
              <w:rPr>
                <w:sz w:val="20"/>
                <w:szCs w:val="20"/>
              </w:rPr>
            </w:pPr>
            <w:r w:rsidDel="00000000" w:rsidR="00000000" w:rsidRPr="00000000">
              <w:rPr>
                <w:b w:val="1"/>
                <w:sz w:val="20"/>
                <w:szCs w:val="20"/>
                <w:rtl w:val="0"/>
              </w:rPr>
              <w:t xml:space="preserve">Activo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ind w:left="2" w:hanging="2"/>
              <w:jc w:val="both"/>
              <w:rPr>
                <w:color w:val="666666"/>
                <w:sz w:val="20"/>
                <w:szCs w:val="20"/>
              </w:rPr>
            </w:pPr>
            <w:r w:rsidDel="00000000" w:rsidR="00000000" w:rsidRPr="00000000">
              <w:rPr>
                <w:sz w:val="20"/>
                <w:szCs w:val="20"/>
                <w:rtl w:val="0"/>
              </w:rPr>
              <w:t xml:space="preserve">Es la distribución sistemática del importe depreciable del activo intangible durante la vida útil; el activo útil es un recurso controlado por la entidad como resultado de sucesos pasados y del que la entidad espera obtener beneficios económicos futuros. (IFRS, 2008, pág. 3)</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2D">
            <w:pPr>
              <w:rPr>
                <w:sz w:val="20"/>
                <w:szCs w:val="20"/>
              </w:rPr>
            </w:pPr>
            <w:r w:rsidDel="00000000" w:rsidR="00000000" w:rsidRPr="00000000">
              <w:rPr>
                <w:b w:val="1"/>
                <w:sz w:val="20"/>
                <w:szCs w:val="20"/>
                <w:rtl w:val="0"/>
              </w:rPr>
              <w:t xml:space="preserve">Activo intangible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Activo identificable, de carácter no monetario y sin apariencia física. (IFRS, 2013, pág. 1)</w:t>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Activo Monetario</w:t>
            </w:r>
          </w:p>
        </w:tc>
        <w:tc>
          <w:tcPr>
            <w:tcMar>
              <w:top w:w="100.0" w:type="dxa"/>
              <w:left w:w="100.0" w:type="dxa"/>
              <w:bottom w:w="100.0" w:type="dxa"/>
              <w:right w:w="100.0" w:type="dxa"/>
            </w:tcMar>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Es dinero en efectivo u otro activo, por el que se va a recibir una cantidad fija de dinero. (IFRS, 2008, pág. 3)</w:t>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Amortización</w:t>
            </w:r>
          </w:p>
        </w:tc>
        <w:tc>
          <w:tcPr>
            <w:tcMar>
              <w:top w:w="100.0" w:type="dxa"/>
              <w:left w:w="100.0" w:type="dxa"/>
              <w:bottom w:w="100.0" w:type="dxa"/>
              <w:right w:w="100.0" w:type="dxa"/>
            </w:tcMar>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Distribución sistemática del importe depreciable de un activo intangible a lo largo de su vida útil. En el caso de activos intangibles, el término “amortización” se utiliza en vez de “depreciación”. (IFRS, 2008, pág. 4)</w:t>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Costo</w:t>
            </w:r>
          </w:p>
        </w:tc>
        <w:tc>
          <w:tcPr>
            <w:tcMar>
              <w:top w:w="100.0" w:type="dxa"/>
              <w:left w:w="100.0" w:type="dxa"/>
              <w:bottom w:w="100.0" w:type="dxa"/>
              <w:right w:w="100.0" w:type="dxa"/>
            </w:tcMar>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Importe de efectivo que equivale al pago efectuado o al valor razonable de lo entregado para adquirir ese activo, en el momento de su construcción o adquisición. (IFRS, 2008, pág. 11)</w:t>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Gasto</w:t>
            </w:r>
          </w:p>
        </w:tc>
        <w:tc>
          <w:tcPr>
            <w:tcMar>
              <w:top w:w="100.0" w:type="dxa"/>
              <w:left w:w="100.0" w:type="dxa"/>
              <w:bottom w:w="100.0" w:type="dxa"/>
              <w:right w:w="100.0" w:type="dxa"/>
            </w:tcMar>
          </w:tcPr>
          <w:p w:rsidR="00000000" w:rsidDel="00000000" w:rsidP="00000000" w:rsidRDefault="00000000" w:rsidRPr="00000000" w14:paraId="00000136">
            <w:pPr>
              <w:jc w:val="both"/>
              <w:rPr>
                <w:sz w:val="20"/>
                <w:szCs w:val="20"/>
              </w:rPr>
            </w:pPr>
            <w:r w:rsidDel="00000000" w:rsidR="00000000" w:rsidRPr="00000000">
              <w:rPr>
                <w:color w:val="000000"/>
                <w:sz w:val="20"/>
                <w:szCs w:val="20"/>
                <w:rtl w:val="0"/>
              </w:rPr>
              <w:t xml:space="preserve">Son los decrementos en los beneficios económicos, producidos a lo largo del periodo contable, en forma de salidas o disminuciones del valor de los activos, o bien por la generación o aumento de los pasivos que dan como resultado decrementos en el patrimonio, y no están relacionados con las distribuciones realizadas a los propietarios de este patrimonio.</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Gastos pagados por anticipado</w:t>
            </w:r>
          </w:p>
        </w:tc>
        <w:tc>
          <w:tcPr>
            <w:tcMar>
              <w:top w:w="100.0" w:type="dxa"/>
              <w:left w:w="100.0" w:type="dxa"/>
              <w:bottom w:w="100.0" w:type="dxa"/>
              <w:right w:w="100.0" w:type="dxa"/>
            </w:tcMar>
          </w:tcPr>
          <w:p w:rsidR="00000000" w:rsidDel="00000000" w:rsidP="00000000" w:rsidRDefault="00000000" w:rsidRPr="00000000" w14:paraId="00000138">
            <w:pPr>
              <w:jc w:val="both"/>
              <w:rPr>
                <w:color w:val="000000"/>
                <w:sz w:val="20"/>
                <w:szCs w:val="20"/>
              </w:rPr>
            </w:pPr>
            <w:r w:rsidDel="00000000" w:rsidR="00000000" w:rsidRPr="00000000">
              <w:rPr>
                <w:sz w:val="20"/>
                <w:szCs w:val="20"/>
                <w:rtl w:val="0"/>
              </w:rPr>
              <w:t xml:space="preserve">Representan una erogación efectuada por servicios que se van a recibir o por bienes que se van a consumir en el uso exclusivo del negocio y cuyo propósito no es el de venderlos ni utilizarlos en el proceso productivo.</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39">
            <w:pPr>
              <w:rPr>
                <w:b w:val="1"/>
                <w:sz w:val="20"/>
                <w:szCs w:val="20"/>
              </w:rPr>
            </w:pPr>
            <w:r w:rsidDel="00000000" w:rsidR="00000000" w:rsidRPr="00000000">
              <w:rPr>
                <w:b w:val="1"/>
                <w:sz w:val="20"/>
                <w:szCs w:val="20"/>
                <w:rtl w:val="0"/>
              </w:rPr>
              <w:t xml:space="preserve">NIC</w:t>
            </w:r>
          </w:p>
        </w:tc>
        <w:tc>
          <w:tcPr>
            <w:tcMar>
              <w:top w:w="100.0" w:type="dxa"/>
              <w:left w:w="100.0" w:type="dxa"/>
              <w:bottom w:w="100.0" w:type="dxa"/>
              <w:right w:w="100.0" w:type="dxa"/>
            </w:tcMar>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Las Normas Internacionales de Contabilidad (NIC), son un conjunto de normas que reglamenta la información que debe presentarse en los estados financieros de las empresas, así como la forma como esa información debe registrarse para su análisis. (</w:t>
            </w:r>
            <w:r w:rsidDel="00000000" w:rsidR="00000000" w:rsidRPr="00000000">
              <w:rPr>
                <w:color w:val="000000"/>
                <w:sz w:val="20"/>
                <w:szCs w:val="20"/>
                <w:rtl w:val="0"/>
              </w:rPr>
              <w:t xml:space="preserve">Burgos Alarcón, 2007)</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13B">
            <w:pPr>
              <w:rPr>
                <w:b w:val="1"/>
                <w:sz w:val="20"/>
                <w:szCs w:val="20"/>
              </w:rPr>
            </w:pPr>
            <w:r w:rsidDel="00000000" w:rsidR="00000000" w:rsidRPr="00000000">
              <w:rPr>
                <w:b w:val="1"/>
                <w:sz w:val="20"/>
                <w:szCs w:val="20"/>
                <w:rtl w:val="0"/>
              </w:rPr>
              <w:t xml:space="preserve">NIIF</w:t>
            </w:r>
          </w:p>
        </w:tc>
        <w:tc>
          <w:tcPr>
            <w:tcMar>
              <w:top w:w="100.0" w:type="dxa"/>
              <w:left w:w="100.0" w:type="dxa"/>
              <w:bottom w:w="100.0" w:type="dxa"/>
              <w:right w:w="100.0" w:type="dxa"/>
            </w:tcMar>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Sigla en español de las IFRS - Normas expedidas por IASB. Este término trae incluidas las NIC (Normas Internacionales de Contabilidad), NIIF (Normas Internacionales de Información Financiera, así como las interpretaciones CINIIF y SIC.</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13D">
            <w:pPr>
              <w:rPr>
                <w:b w:val="1"/>
                <w:sz w:val="20"/>
                <w:szCs w:val="20"/>
              </w:rPr>
            </w:pPr>
            <w:r w:rsidDel="00000000" w:rsidR="00000000" w:rsidRPr="00000000">
              <w:rPr>
                <w:b w:val="1"/>
                <w:sz w:val="20"/>
                <w:szCs w:val="20"/>
                <w:rtl w:val="0"/>
              </w:rPr>
              <w:t xml:space="preserve">Pérdida por deterioro</w:t>
            </w:r>
          </w:p>
        </w:tc>
        <w:tc>
          <w:tcPr>
            <w:tcMar>
              <w:top w:w="100.0" w:type="dxa"/>
              <w:left w:w="100.0" w:type="dxa"/>
              <w:bottom w:w="100.0" w:type="dxa"/>
              <w:right w:w="100.0" w:type="dxa"/>
            </w:tcMar>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El exceso del importe en libros sobre el importe recuperable de un activo. (</w:t>
            </w:r>
            <w:r w:rsidDel="00000000" w:rsidR="00000000" w:rsidRPr="00000000">
              <w:rPr>
                <w:color w:val="000000"/>
                <w:sz w:val="20"/>
                <w:szCs w:val="20"/>
                <w:rtl w:val="0"/>
              </w:rPr>
              <w:t xml:space="preserve">NIIF</w:t>
            </w:r>
            <w:r w:rsidDel="00000000" w:rsidR="00000000" w:rsidRPr="00000000">
              <w:rPr>
                <w:sz w:val="20"/>
                <w:szCs w:val="20"/>
                <w:rtl w:val="0"/>
              </w:rPr>
              <w:t xml:space="preserve">, 2008, pág. 29)</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13F">
            <w:pPr>
              <w:rPr>
                <w:b w:val="1"/>
                <w:sz w:val="20"/>
                <w:szCs w:val="20"/>
              </w:rPr>
            </w:pPr>
            <w:r w:rsidDel="00000000" w:rsidR="00000000" w:rsidRPr="00000000">
              <w:rPr>
                <w:b w:val="1"/>
                <w:sz w:val="20"/>
                <w:szCs w:val="20"/>
                <w:rtl w:val="0"/>
              </w:rPr>
              <w:t xml:space="preserve">Valor depreciable</w:t>
            </w:r>
          </w:p>
        </w:tc>
        <w:tc>
          <w:tcPr>
            <w:tcMar>
              <w:top w:w="100.0" w:type="dxa"/>
              <w:left w:w="100.0" w:type="dxa"/>
              <w:bottom w:w="100.0" w:type="dxa"/>
              <w:right w:w="100.0" w:type="dxa"/>
            </w:tcMar>
          </w:tcPr>
          <w:p w:rsidR="00000000" w:rsidDel="00000000" w:rsidP="00000000" w:rsidRDefault="00000000" w:rsidRPr="00000000" w14:paraId="00000140">
            <w:pPr>
              <w:ind w:left="2" w:hanging="2"/>
              <w:jc w:val="both"/>
              <w:rPr>
                <w:sz w:val="20"/>
                <w:szCs w:val="20"/>
              </w:rPr>
            </w:pPr>
            <w:r w:rsidDel="00000000" w:rsidR="00000000" w:rsidRPr="00000000">
              <w:rPr>
                <w:sz w:val="20"/>
                <w:szCs w:val="20"/>
                <w:rtl w:val="0"/>
              </w:rPr>
              <w:t xml:space="preserve">Es el costo de un activo u otro que lo sustituye menos su valor residual. (</w:t>
            </w:r>
            <w:r w:rsidDel="00000000" w:rsidR="00000000" w:rsidRPr="00000000">
              <w:rPr>
                <w:color w:val="000000"/>
                <w:sz w:val="20"/>
                <w:szCs w:val="20"/>
                <w:rtl w:val="0"/>
              </w:rPr>
              <w:t xml:space="preserve">NIIF</w:t>
            </w:r>
            <w:r w:rsidDel="00000000" w:rsidR="00000000" w:rsidRPr="00000000">
              <w:rPr>
                <w:sz w:val="20"/>
                <w:szCs w:val="20"/>
                <w:rtl w:val="0"/>
              </w:rPr>
              <w:t xml:space="preserve">, 2008)</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141">
            <w:pPr>
              <w:rPr>
                <w:b w:val="1"/>
                <w:sz w:val="20"/>
                <w:szCs w:val="20"/>
              </w:rPr>
            </w:pPr>
            <w:r w:rsidDel="00000000" w:rsidR="00000000" w:rsidRPr="00000000">
              <w:rPr>
                <w:b w:val="1"/>
                <w:sz w:val="20"/>
                <w:szCs w:val="20"/>
                <w:rtl w:val="0"/>
              </w:rPr>
              <w:t xml:space="preserve">Valor residual</w:t>
            </w:r>
          </w:p>
        </w:tc>
        <w:tc>
          <w:tcPr>
            <w:tcMar>
              <w:top w:w="100.0" w:type="dxa"/>
              <w:left w:w="100.0" w:type="dxa"/>
              <w:bottom w:w="100.0" w:type="dxa"/>
              <w:right w:w="100.0" w:type="dxa"/>
            </w:tcMar>
          </w:tcPr>
          <w:p w:rsidR="00000000" w:rsidDel="00000000" w:rsidP="00000000" w:rsidRDefault="00000000" w:rsidRPr="00000000" w14:paraId="00000142">
            <w:pPr>
              <w:ind w:left="2" w:hanging="2"/>
              <w:jc w:val="both"/>
              <w:rPr>
                <w:sz w:val="20"/>
                <w:szCs w:val="20"/>
              </w:rPr>
            </w:pPr>
            <w:r w:rsidDel="00000000" w:rsidR="00000000" w:rsidRPr="00000000">
              <w:rPr>
                <w:sz w:val="20"/>
                <w:szCs w:val="20"/>
                <w:rtl w:val="0"/>
              </w:rPr>
              <w:t xml:space="preserve">Es el importe estimado que la entidad podría obtener de un activo por su disposición, después de haber deducido los costos estimados para su disposición, si el activo tuviera ya la edad y condición esperadas al término de su vida útil. (CTCP, 2020, 11 de diciembre)</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143">
            <w:pPr>
              <w:ind w:left="2" w:hanging="2"/>
              <w:rPr>
                <w:sz w:val="20"/>
                <w:szCs w:val="20"/>
              </w:rPr>
            </w:pPr>
            <w:r w:rsidDel="00000000" w:rsidR="00000000" w:rsidRPr="00000000">
              <w:rPr>
                <w:b w:val="1"/>
                <w:sz w:val="20"/>
                <w:szCs w:val="20"/>
                <w:rtl w:val="0"/>
              </w:rPr>
              <w:t xml:space="preserve">Vida útil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4">
            <w:pPr>
              <w:ind w:left="2" w:hanging="2"/>
              <w:jc w:val="both"/>
              <w:rPr>
                <w:sz w:val="20"/>
                <w:szCs w:val="20"/>
              </w:rPr>
            </w:pPr>
            <w:r w:rsidDel="00000000" w:rsidR="00000000" w:rsidRPr="00000000">
              <w:rPr>
                <w:sz w:val="20"/>
                <w:szCs w:val="20"/>
                <w:rtl w:val="0"/>
              </w:rPr>
              <w:t xml:space="preserve">El periodo durante el cual se espera que la entidad utilice el activo; o el número de unidades de producción o similares que se espera obtener del mismo por parte de una entidad. (CTCP, 2020, 11 de diciembre)</w:t>
            </w:r>
          </w:p>
        </w:tc>
      </w:tr>
    </w:tbl>
    <w:p w:rsidR="00000000" w:rsidDel="00000000" w:rsidP="00000000" w:rsidRDefault="00000000" w:rsidRPr="00000000" w14:paraId="00000145">
      <w:pPr>
        <w:spacing w:before="240" w:lineRule="auto"/>
        <w:rPr>
          <w:sz w:val="20"/>
          <w:szCs w:val="20"/>
        </w:rPr>
      </w:pPr>
      <w:r w:rsidDel="00000000" w:rsidR="00000000" w:rsidRPr="00000000">
        <w:rPr>
          <w:rtl w:val="0"/>
        </w:rPr>
      </w:r>
    </w:p>
    <w:p w:rsidR="00000000" w:rsidDel="00000000" w:rsidP="00000000" w:rsidRDefault="00000000" w:rsidRPr="00000000" w14:paraId="00000146">
      <w:pPr>
        <w:spacing w:before="240" w:lineRule="auto"/>
        <w:rPr>
          <w:sz w:val="20"/>
          <w:szCs w:val="20"/>
        </w:rPr>
      </w:pPr>
      <w:r w:rsidDel="00000000" w:rsidR="00000000" w:rsidRPr="00000000">
        <w:rPr>
          <w:rtl w:val="0"/>
        </w:rPr>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49">
      <w:pPr>
        <w:ind w:left="360" w:firstLine="0"/>
        <w:jc w:val="both"/>
        <w:rPr>
          <w:color w:val="000000"/>
          <w:sz w:val="20"/>
          <w:szCs w:val="20"/>
        </w:rPr>
      </w:pPr>
      <w:r w:rsidDel="00000000" w:rsidR="00000000" w:rsidRPr="00000000">
        <w:rPr>
          <w:color w:val="000000"/>
          <w:sz w:val="20"/>
          <w:szCs w:val="20"/>
          <w:rtl w:val="0"/>
        </w:rPr>
        <w:t xml:space="preserve">Blanco, S. (2013). Estándares/normas internacionales de información financiera (IFRS7NIIF). ECOE Ediciones. </w:t>
      </w:r>
    </w:p>
    <w:p w:rsidR="00000000" w:rsidDel="00000000" w:rsidP="00000000" w:rsidRDefault="00000000" w:rsidRPr="00000000" w14:paraId="0000014A">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4B">
      <w:pPr>
        <w:ind w:left="360" w:firstLine="0"/>
        <w:jc w:val="both"/>
        <w:rPr>
          <w:color w:val="000000"/>
          <w:sz w:val="20"/>
          <w:szCs w:val="20"/>
        </w:rPr>
      </w:pPr>
      <w:r w:rsidDel="00000000" w:rsidR="00000000" w:rsidRPr="00000000">
        <w:rPr>
          <w:color w:val="000000"/>
          <w:sz w:val="20"/>
          <w:szCs w:val="20"/>
          <w:rtl w:val="0"/>
        </w:rPr>
        <w:t xml:space="preserve">Burgos Alarcón, H. (2007). Normas Internacionales de Contabilidad. Panorama. Universidad Politécnico Grancolombiano, 1(3), 65-70.</w:t>
      </w:r>
    </w:p>
    <w:p w:rsidR="00000000" w:rsidDel="00000000" w:rsidP="00000000" w:rsidRDefault="00000000" w:rsidRPr="00000000" w14:paraId="0000014C">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4D">
      <w:pPr>
        <w:ind w:left="360" w:firstLine="0"/>
        <w:jc w:val="both"/>
        <w:rPr>
          <w:color w:val="000000"/>
          <w:sz w:val="20"/>
          <w:szCs w:val="20"/>
        </w:rPr>
      </w:pPr>
      <w:r w:rsidDel="00000000" w:rsidR="00000000" w:rsidRPr="00000000">
        <w:rPr>
          <w:color w:val="000000"/>
          <w:sz w:val="20"/>
          <w:szCs w:val="20"/>
          <w:rtl w:val="0"/>
        </w:rPr>
        <w:t xml:space="preserve">Godoy Ramírez, E. (2014). NIIF Presentación de Estados Financieros, aplicación y desarrollo, ejemplos, ejercicios prácticos, adopción por primera vez. Grupo Editorial Nueva Legislación. IFRS Fundación. </w:t>
      </w:r>
    </w:p>
    <w:p w:rsidR="00000000" w:rsidDel="00000000" w:rsidP="00000000" w:rsidRDefault="00000000" w:rsidRPr="00000000" w14:paraId="0000014E">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4F">
      <w:pPr>
        <w:ind w:left="360" w:firstLine="0"/>
        <w:jc w:val="both"/>
        <w:rPr>
          <w:color w:val="0000ff"/>
          <w:sz w:val="20"/>
          <w:szCs w:val="20"/>
          <w:u w:val="single"/>
        </w:rPr>
      </w:pPr>
      <w:r w:rsidDel="00000000" w:rsidR="00000000" w:rsidRPr="00000000">
        <w:rPr>
          <w:color w:val="000000"/>
          <w:sz w:val="20"/>
          <w:szCs w:val="20"/>
          <w:rtl w:val="0"/>
        </w:rPr>
        <w:t xml:space="preserve">Ley 1349 (2020, 10 de diciembre). Diario oficial 47.751, Bogotá, D.C., Colombia.  </w:t>
      </w:r>
      <w:hyperlink r:id="rId11">
        <w:r w:rsidDel="00000000" w:rsidR="00000000" w:rsidRPr="00000000">
          <w:rPr>
            <w:color w:val="0000ff"/>
            <w:sz w:val="20"/>
            <w:szCs w:val="20"/>
            <w:u w:val="single"/>
            <w:rtl w:val="0"/>
          </w:rPr>
          <w:t xml:space="preserve">http://www.secretariasenado.gov.co/senado/basedoc/ley_1349_2009.html</w:t>
        </w:r>
      </w:hyperlink>
      <w:r w:rsidDel="00000000" w:rsidR="00000000" w:rsidRPr="00000000">
        <w:rPr>
          <w:rtl w:val="0"/>
        </w:rPr>
      </w:r>
    </w:p>
    <w:p w:rsidR="00000000" w:rsidDel="00000000" w:rsidP="00000000" w:rsidRDefault="00000000" w:rsidRPr="00000000" w14:paraId="00000150">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51">
      <w:pPr>
        <w:ind w:left="360" w:firstLine="0"/>
        <w:jc w:val="both"/>
        <w:rPr>
          <w:color w:val="0000ff"/>
          <w:sz w:val="20"/>
          <w:szCs w:val="20"/>
          <w:u w:val="single"/>
        </w:rPr>
      </w:pPr>
      <w:r w:rsidDel="00000000" w:rsidR="00000000" w:rsidRPr="00000000">
        <w:rPr>
          <w:color w:val="000000"/>
          <w:sz w:val="20"/>
          <w:szCs w:val="20"/>
          <w:rtl w:val="0"/>
        </w:rPr>
        <w:t xml:space="preserve">SUIN Juriscoop. (2020, 10 de diciembre).Decreto 2784 de diciembre 2012. </w:t>
      </w:r>
      <w:hyperlink r:id="rId12">
        <w:r w:rsidDel="00000000" w:rsidR="00000000" w:rsidRPr="00000000">
          <w:rPr>
            <w:color w:val="0000ff"/>
            <w:sz w:val="20"/>
            <w:szCs w:val="20"/>
            <w:u w:val="single"/>
            <w:rtl w:val="0"/>
          </w:rPr>
          <w:t xml:space="preserve">http://suin.gov.co/viewDocument.asp?id=1776952</w:t>
        </w:r>
      </w:hyperlink>
      <w:r w:rsidDel="00000000" w:rsidR="00000000" w:rsidRPr="00000000">
        <w:rPr>
          <w:rtl w:val="0"/>
        </w:rPr>
      </w:r>
    </w:p>
    <w:p w:rsidR="00000000" w:rsidDel="00000000" w:rsidP="00000000" w:rsidRDefault="00000000" w:rsidRPr="00000000" w14:paraId="00000152">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53">
      <w:pPr>
        <w:ind w:left="360" w:firstLine="0"/>
        <w:jc w:val="both"/>
        <w:rPr>
          <w:color w:val="0000ff"/>
          <w:sz w:val="20"/>
          <w:szCs w:val="20"/>
          <w:u w:val="single"/>
        </w:rPr>
      </w:pPr>
      <w:r w:rsidDel="00000000" w:rsidR="00000000" w:rsidRPr="00000000">
        <w:rPr>
          <w:color w:val="000000"/>
          <w:sz w:val="20"/>
          <w:szCs w:val="20"/>
          <w:rtl w:val="0"/>
        </w:rPr>
        <w:t xml:space="preserve">CTCP (2020, 10 de diciembre). NIC 16 </w:t>
      </w:r>
      <w:hyperlink r:id="rId13">
        <w:r w:rsidDel="00000000" w:rsidR="00000000" w:rsidRPr="00000000">
          <w:rPr>
            <w:color w:val="0000ff"/>
            <w:sz w:val="20"/>
            <w:szCs w:val="20"/>
            <w:u w:val="single"/>
            <w:rtl w:val="0"/>
          </w:rPr>
          <w:t xml:space="preserve">https://www.ctcp.gov.co/proyectos/contabilidad-e-informacion-financiera/documentos-organismos-internacionales/compilacion-marcos-tecnicos-de-informacion-financi/1534369767-2310</w:t>
        </w:r>
      </w:hyperlink>
      <w:r w:rsidDel="00000000" w:rsidR="00000000" w:rsidRPr="00000000">
        <w:rPr>
          <w:rtl w:val="0"/>
        </w:rPr>
      </w:r>
    </w:p>
    <w:p w:rsidR="00000000" w:rsidDel="00000000" w:rsidP="00000000" w:rsidRDefault="00000000" w:rsidRPr="00000000" w14:paraId="00000154">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55">
      <w:pPr>
        <w:ind w:left="360" w:firstLine="0"/>
        <w:jc w:val="both"/>
        <w:rPr>
          <w:color w:val="000000"/>
          <w:sz w:val="20"/>
          <w:szCs w:val="20"/>
        </w:rPr>
      </w:pPr>
      <w:r w:rsidDel="00000000" w:rsidR="00000000" w:rsidRPr="00000000">
        <w:rPr>
          <w:color w:val="000000"/>
          <w:sz w:val="20"/>
          <w:szCs w:val="20"/>
          <w:rtl w:val="0"/>
        </w:rPr>
        <w:t xml:space="preserve">NIIF PARA LAS PYMES – JULIO 2009- sección 18 Activos Intangibles Distintos de la Plusvalía.</w:t>
      </w:r>
    </w:p>
    <w:p w:rsidR="00000000" w:rsidDel="00000000" w:rsidP="00000000" w:rsidRDefault="00000000" w:rsidRPr="00000000" w14:paraId="00000156">
      <w:pPr>
        <w:ind w:left="360" w:firstLine="0"/>
        <w:jc w:val="both"/>
        <w:rPr>
          <w:color w:val="000000"/>
          <w:sz w:val="20"/>
          <w:szCs w:val="20"/>
        </w:rPr>
      </w:pPr>
      <w:r w:rsidDel="00000000" w:rsidR="00000000" w:rsidRPr="00000000">
        <w:rPr>
          <w:color w:val="000000"/>
          <w:sz w:val="20"/>
          <w:szCs w:val="20"/>
          <w:rtl w:val="0"/>
        </w:rPr>
        <w:t xml:space="preserve">Normas Internacionales de Información Financiera (NIIF) (2008). Guía rápida IFRS 2008. </w:t>
      </w:r>
      <w:hyperlink r:id="rId14">
        <w:r w:rsidDel="00000000" w:rsidR="00000000" w:rsidRPr="00000000">
          <w:rPr>
            <w:color w:val="0000ff"/>
            <w:sz w:val="20"/>
            <w:szCs w:val="20"/>
            <w:u w:val="single"/>
            <w:rtl w:val="0"/>
          </w:rPr>
          <w:t xml:space="preserve">https://www.pwc.com/</w:t>
        </w:r>
      </w:hyperlink>
      <w:r w:rsidDel="00000000" w:rsidR="00000000" w:rsidRPr="00000000">
        <w:rPr>
          <w:color w:val="000000"/>
          <w:sz w:val="20"/>
          <w:szCs w:val="20"/>
          <w:rtl w:val="0"/>
        </w:rPr>
        <w:t xml:space="preserve">. </w:t>
      </w:r>
      <w:hyperlink r:id="rId15">
        <w:r w:rsidDel="00000000" w:rsidR="00000000" w:rsidRPr="00000000">
          <w:rPr>
            <w:color w:val="0000ff"/>
            <w:sz w:val="20"/>
            <w:szCs w:val="20"/>
            <w:u w:val="single"/>
            <w:rtl w:val="0"/>
          </w:rPr>
          <w:t xml:space="preserve">https://www.pwc.com/cl/es/ifrs/assets/grifrs_2008.pdf</w:t>
        </w:r>
      </w:hyperlink>
      <w:r w:rsidDel="00000000" w:rsidR="00000000" w:rsidRPr="00000000">
        <w:rPr>
          <w:rtl w:val="0"/>
        </w:rPr>
      </w:r>
    </w:p>
    <w:p w:rsidR="00000000" w:rsidDel="00000000" w:rsidP="00000000" w:rsidRDefault="00000000" w:rsidRPr="00000000" w14:paraId="00000157">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240" w:lineRule="auto"/>
        <w:ind w:left="360" w:firstLine="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59">
      <w:pPr>
        <w:spacing w:before="240" w:lineRule="auto"/>
        <w:jc w:val="both"/>
        <w:rPr>
          <w:b w:val="1"/>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c>
          <w:tcPr>
            <w:tcBorders>
              <w:top w:color="000000" w:space="0" w:sz="0" w:val="nil"/>
              <w:left w:color="000000" w:space="0" w:sz="0" w:val="nil"/>
            </w:tcBorders>
          </w:tcPr>
          <w:p w:rsidR="00000000" w:rsidDel="00000000" w:rsidP="00000000" w:rsidRDefault="00000000" w:rsidRPr="00000000" w14:paraId="0000015A">
            <w:pPr>
              <w:spacing w:before="240" w:lineRule="auto"/>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5B">
            <w:pPr>
              <w:spacing w:before="240" w:lineRule="auto"/>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5C">
            <w:pPr>
              <w:spacing w:before="240" w:lineRule="auto"/>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5D">
            <w:pPr>
              <w:spacing w:before="240" w:lineRule="auto"/>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5E">
            <w:pPr>
              <w:spacing w:before="240" w:lineRule="auto"/>
              <w:rPr>
                <w:b w:val="1"/>
                <w:sz w:val="20"/>
                <w:szCs w:val="20"/>
              </w:rPr>
            </w:pPr>
            <w:r w:rsidDel="00000000" w:rsidR="00000000" w:rsidRPr="00000000">
              <w:rPr>
                <w:b w:val="1"/>
                <w:sz w:val="20"/>
                <w:szCs w:val="20"/>
                <w:rtl w:val="0"/>
              </w:rPr>
              <w:t xml:space="preserve">Fecha</w:t>
            </w:r>
          </w:p>
        </w:tc>
      </w:tr>
      <w:tr>
        <w:trPr>
          <w:trHeight w:val="340" w:hRule="atLeast"/>
        </w:trPr>
        <w:tc>
          <w:tcPr>
            <w:vMerge w:val="restart"/>
          </w:tcPr>
          <w:p w:rsidR="00000000" w:rsidDel="00000000" w:rsidP="00000000" w:rsidRDefault="00000000" w:rsidRPr="00000000" w14:paraId="0000015F">
            <w:pPr>
              <w:spacing w:before="240" w:lineRule="auto"/>
              <w:jc w:val="center"/>
              <w:rPr>
                <w:b w:val="1"/>
                <w:sz w:val="20"/>
                <w:szCs w:val="20"/>
              </w:rPr>
            </w:pPr>
            <w:r w:rsidDel="00000000" w:rsidR="00000000" w:rsidRPr="00000000">
              <w:rPr>
                <w:rtl w:val="0"/>
              </w:rPr>
            </w:r>
          </w:p>
          <w:p w:rsidR="00000000" w:rsidDel="00000000" w:rsidP="00000000" w:rsidRDefault="00000000" w:rsidRPr="00000000" w14:paraId="00000160">
            <w:pPr>
              <w:spacing w:before="240" w:lineRule="auto"/>
              <w:jc w:val="center"/>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61">
            <w:pPr>
              <w:ind w:left="2" w:hanging="2"/>
              <w:jc w:val="both"/>
              <w:rPr>
                <w:sz w:val="20"/>
                <w:szCs w:val="20"/>
              </w:rPr>
            </w:pPr>
            <w:r w:rsidDel="00000000" w:rsidR="00000000" w:rsidRPr="00000000">
              <w:rPr>
                <w:b w:val="1"/>
                <w:sz w:val="20"/>
                <w:szCs w:val="20"/>
                <w:rtl w:val="0"/>
              </w:rPr>
              <w:t xml:space="preserve">Claudia Briceida Coy Coy</w:t>
            </w:r>
            <w:r w:rsidDel="00000000" w:rsidR="00000000" w:rsidRPr="00000000">
              <w:rPr>
                <w:rtl w:val="0"/>
              </w:rPr>
            </w:r>
          </w:p>
        </w:tc>
        <w:tc>
          <w:tcPr/>
          <w:p w:rsidR="00000000" w:rsidDel="00000000" w:rsidP="00000000" w:rsidRDefault="00000000" w:rsidRPr="00000000" w14:paraId="00000162">
            <w:pPr>
              <w:spacing w:before="240" w:lineRule="auto"/>
              <w:jc w:val="both"/>
              <w:rPr>
                <w:b w:val="1"/>
                <w:sz w:val="20"/>
                <w:szCs w:val="20"/>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163">
            <w:pPr>
              <w:spacing w:before="240" w:lineRule="auto"/>
              <w:jc w:val="both"/>
              <w:rPr>
                <w:b w:val="1"/>
                <w:sz w:val="20"/>
                <w:szCs w:val="20"/>
              </w:rPr>
            </w:pPr>
            <w:r w:rsidDel="00000000" w:rsidR="00000000" w:rsidRPr="00000000">
              <w:rPr>
                <w:sz w:val="20"/>
                <w:szCs w:val="20"/>
                <w:rtl w:val="0"/>
              </w:rPr>
              <w:t xml:space="preserve">Centro de Contabilidad</w:t>
            </w:r>
            <w:r w:rsidDel="00000000" w:rsidR="00000000" w:rsidRPr="00000000">
              <w:rPr>
                <w:rtl w:val="0"/>
              </w:rPr>
            </w:r>
          </w:p>
        </w:tc>
        <w:tc>
          <w:tcPr/>
          <w:p w:rsidR="00000000" w:rsidDel="00000000" w:rsidP="00000000" w:rsidRDefault="00000000" w:rsidRPr="00000000" w14:paraId="00000164">
            <w:pPr>
              <w:spacing w:before="240" w:lineRule="auto"/>
              <w:jc w:val="both"/>
              <w:rPr>
                <w:b w:val="1"/>
                <w:sz w:val="20"/>
                <w:szCs w:val="20"/>
              </w:rPr>
            </w:pPr>
            <w:r w:rsidDel="00000000" w:rsidR="00000000" w:rsidRPr="00000000">
              <w:rPr>
                <w:sz w:val="20"/>
                <w:szCs w:val="20"/>
                <w:rtl w:val="0"/>
              </w:rPr>
              <w:t xml:space="preserve">Noviembre de 2020</w:t>
            </w:r>
            <w:r w:rsidDel="00000000" w:rsidR="00000000" w:rsidRPr="00000000">
              <w:rPr>
                <w:rtl w:val="0"/>
              </w:rPr>
            </w:r>
          </w:p>
        </w:tc>
      </w:tr>
      <w:tr>
        <w:trPr>
          <w:trHeight w:val="340" w:hRule="atLeast"/>
        </w:trPr>
        <w:tc>
          <w:tcPr>
            <w:vMerge w:val="continue"/>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66">
            <w:pPr>
              <w:ind w:left="2" w:hanging="2"/>
              <w:jc w:val="both"/>
              <w:rPr>
                <w:sz w:val="20"/>
                <w:szCs w:val="20"/>
              </w:rPr>
            </w:pPr>
            <w:r w:rsidDel="00000000" w:rsidR="00000000" w:rsidRPr="00000000">
              <w:rPr>
                <w:b w:val="1"/>
                <w:sz w:val="20"/>
                <w:szCs w:val="20"/>
                <w:rtl w:val="0"/>
              </w:rPr>
              <w:t xml:space="preserve">Angy Fernanda Salazar</w:t>
            </w:r>
            <w:r w:rsidDel="00000000" w:rsidR="00000000" w:rsidRPr="00000000">
              <w:rPr>
                <w:rtl w:val="0"/>
              </w:rPr>
            </w:r>
          </w:p>
        </w:tc>
        <w:tc>
          <w:tcPr/>
          <w:p w:rsidR="00000000" w:rsidDel="00000000" w:rsidP="00000000" w:rsidRDefault="00000000" w:rsidRPr="00000000" w14:paraId="00000167">
            <w:pPr>
              <w:ind w:left="2" w:hanging="2"/>
              <w:jc w:val="both"/>
              <w:rPr>
                <w:sz w:val="20"/>
                <w:szCs w:val="20"/>
              </w:rPr>
            </w:pPr>
            <w:r w:rsidDel="00000000" w:rsidR="00000000" w:rsidRPr="00000000">
              <w:rPr>
                <w:sz w:val="20"/>
                <w:szCs w:val="20"/>
                <w:rtl w:val="0"/>
              </w:rPr>
              <w:t xml:space="preserve">Instructor</w:t>
            </w:r>
          </w:p>
        </w:tc>
        <w:tc>
          <w:tcPr/>
          <w:p w:rsidR="00000000" w:rsidDel="00000000" w:rsidP="00000000" w:rsidRDefault="00000000" w:rsidRPr="00000000" w14:paraId="00000168">
            <w:pPr>
              <w:ind w:left="2" w:hanging="2"/>
              <w:jc w:val="both"/>
              <w:rPr>
                <w:sz w:val="20"/>
                <w:szCs w:val="20"/>
              </w:rPr>
            </w:pPr>
            <w:r w:rsidDel="00000000" w:rsidR="00000000" w:rsidRPr="00000000">
              <w:rPr>
                <w:sz w:val="20"/>
                <w:szCs w:val="20"/>
                <w:rtl w:val="0"/>
              </w:rPr>
              <w:t xml:space="preserve">Centro de Contabilidad</w:t>
            </w:r>
          </w:p>
        </w:tc>
        <w:tc>
          <w:tcPr/>
          <w:p w:rsidR="00000000" w:rsidDel="00000000" w:rsidP="00000000" w:rsidRDefault="00000000" w:rsidRPr="00000000" w14:paraId="00000169">
            <w:pPr>
              <w:ind w:left="2" w:hanging="2"/>
              <w:jc w:val="both"/>
              <w:rPr>
                <w:sz w:val="20"/>
                <w:szCs w:val="20"/>
              </w:rPr>
            </w:pPr>
            <w:r w:rsidDel="00000000" w:rsidR="00000000" w:rsidRPr="00000000">
              <w:rPr>
                <w:sz w:val="20"/>
                <w:szCs w:val="20"/>
                <w:rtl w:val="0"/>
              </w:rPr>
              <w:t xml:space="preserve">Noviembre de 2020</w:t>
            </w:r>
          </w:p>
        </w:tc>
      </w:tr>
      <w:tr>
        <w:trPr>
          <w:trHeight w:val="340" w:hRule="atLeast"/>
        </w:trPr>
        <w:tc>
          <w:tcPr>
            <w:vMerge w:val="continue"/>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6B">
            <w:pPr>
              <w:ind w:left="2" w:hanging="2"/>
              <w:jc w:val="both"/>
              <w:rPr>
                <w:sz w:val="20"/>
                <w:szCs w:val="20"/>
              </w:rPr>
            </w:pPr>
            <w:r w:rsidDel="00000000" w:rsidR="00000000" w:rsidRPr="00000000">
              <w:rPr>
                <w:b w:val="1"/>
                <w:sz w:val="20"/>
                <w:szCs w:val="20"/>
                <w:rtl w:val="0"/>
              </w:rPr>
              <w:t xml:space="preserve">Maryuri Agudelo Franco</w:t>
            </w:r>
            <w:r w:rsidDel="00000000" w:rsidR="00000000" w:rsidRPr="00000000">
              <w:rPr>
                <w:rtl w:val="0"/>
              </w:rPr>
            </w:r>
          </w:p>
        </w:tc>
        <w:tc>
          <w:tcPr/>
          <w:p w:rsidR="00000000" w:rsidDel="00000000" w:rsidP="00000000" w:rsidRDefault="00000000" w:rsidRPr="00000000" w14:paraId="0000016C">
            <w:pPr>
              <w:ind w:left="2" w:hanging="2"/>
              <w:jc w:val="both"/>
              <w:rPr>
                <w:sz w:val="20"/>
                <w:szCs w:val="20"/>
              </w:rPr>
            </w:pPr>
            <w:r w:rsidDel="00000000" w:rsidR="00000000" w:rsidRPr="00000000">
              <w:rPr>
                <w:sz w:val="20"/>
                <w:szCs w:val="20"/>
                <w:rtl w:val="0"/>
              </w:rPr>
              <w:t xml:space="preserve">Diseñadora Instruccional</w:t>
            </w:r>
          </w:p>
        </w:tc>
        <w:tc>
          <w:tcPr/>
          <w:p w:rsidR="00000000" w:rsidDel="00000000" w:rsidP="00000000" w:rsidRDefault="00000000" w:rsidRPr="00000000" w14:paraId="0000016D">
            <w:pPr>
              <w:ind w:left="2" w:hanging="2"/>
              <w:jc w:val="both"/>
              <w:rPr>
                <w:sz w:val="20"/>
                <w:szCs w:val="20"/>
              </w:rPr>
            </w:pPr>
            <w:r w:rsidDel="00000000" w:rsidR="00000000" w:rsidRPr="00000000">
              <w:rPr>
                <w:sz w:val="20"/>
                <w:szCs w:val="20"/>
                <w:rtl w:val="0"/>
              </w:rPr>
              <w:t xml:space="preserve">Centro de Diseño y Metrología</w:t>
            </w:r>
          </w:p>
          <w:p w:rsidR="00000000" w:rsidDel="00000000" w:rsidP="00000000" w:rsidRDefault="00000000" w:rsidRPr="00000000" w14:paraId="0000016E">
            <w:pPr>
              <w:jc w:val="both"/>
              <w:rPr>
                <w:sz w:val="20"/>
                <w:szCs w:val="20"/>
              </w:rPr>
            </w:pPr>
            <w:r w:rsidDel="00000000" w:rsidR="00000000" w:rsidRPr="00000000">
              <w:rPr>
                <w:rtl w:val="0"/>
              </w:rPr>
            </w:r>
          </w:p>
        </w:tc>
        <w:tc>
          <w:tcPr/>
          <w:p w:rsidR="00000000" w:rsidDel="00000000" w:rsidP="00000000" w:rsidRDefault="00000000" w:rsidRPr="00000000" w14:paraId="0000016F">
            <w:pPr>
              <w:ind w:left="2" w:hanging="2"/>
              <w:jc w:val="both"/>
              <w:rPr>
                <w:sz w:val="20"/>
                <w:szCs w:val="20"/>
              </w:rPr>
            </w:pPr>
            <w:r w:rsidDel="00000000" w:rsidR="00000000" w:rsidRPr="00000000">
              <w:rPr>
                <w:sz w:val="20"/>
                <w:szCs w:val="20"/>
                <w:rtl w:val="0"/>
              </w:rPr>
              <w:t xml:space="preserve">Diciembre de 2020</w:t>
            </w:r>
          </w:p>
          <w:p w:rsidR="00000000" w:rsidDel="00000000" w:rsidP="00000000" w:rsidRDefault="00000000" w:rsidRPr="00000000" w14:paraId="00000170">
            <w:pPr>
              <w:ind w:left="2" w:hanging="2"/>
              <w:jc w:val="both"/>
              <w:rPr>
                <w:sz w:val="20"/>
                <w:szCs w:val="20"/>
              </w:rPr>
            </w:pPr>
            <w:r w:rsidDel="00000000" w:rsidR="00000000" w:rsidRPr="00000000">
              <w:rPr>
                <w:rtl w:val="0"/>
              </w:rPr>
            </w:r>
          </w:p>
        </w:tc>
      </w:tr>
    </w:tbl>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72">
      <w:pPr>
        <w:spacing w:before="240" w:lineRule="auto"/>
        <w:rPr>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173">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174">
            <w:pPr>
              <w:spacing w:before="240" w:lineRule="auto"/>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75">
            <w:pPr>
              <w:spacing w:before="240" w:lineRule="auto"/>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76">
            <w:pPr>
              <w:spacing w:before="240" w:lineRule="auto"/>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77">
            <w:pPr>
              <w:spacing w:before="240" w:lineRule="auto"/>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78">
            <w:pPr>
              <w:spacing w:before="240" w:lineRule="auto"/>
              <w:jc w:val="both"/>
              <w:rPr>
                <w:b w:val="1"/>
                <w:sz w:val="20"/>
                <w:szCs w:val="20"/>
              </w:rPr>
            </w:pPr>
            <w:r w:rsidDel="00000000" w:rsidR="00000000" w:rsidRPr="00000000">
              <w:rPr>
                <w:b w:val="1"/>
                <w:sz w:val="20"/>
                <w:szCs w:val="20"/>
                <w:rtl w:val="0"/>
              </w:rPr>
              <w:t xml:space="preserve">Razón del Cambio</w:t>
            </w:r>
          </w:p>
        </w:tc>
      </w:tr>
      <w:tr>
        <w:tc>
          <w:tcPr/>
          <w:p w:rsidR="00000000" w:rsidDel="00000000" w:rsidP="00000000" w:rsidRDefault="00000000" w:rsidRPr="00000000" w14:paraId="00000179">
            <w:pPr>
              <w:spacing w:before="240" w:lineRule="auto"/>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7A">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17B">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17C">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17D">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17E">
            <w:pPr>
              <w:spacing w:before="240" w:lineRule="auto"/>
              <w:jc w:val="both"/>
              <w:rPr>
                <w:b w:val="1"/>
                <w:sz w:val="20"/>
                <w:szCs w:val="20"/>
              </w:rPr>
            </w:pPr>
            <w:r w:rsidDel="00000000" w:rsidR="00000000" w:rsidRPr="00000000">
              <w:rPr>
                <w:rtl w:val="0"/>
              </w:rPr>
            </w:r>
          </w:p>
        </w:tc>
      </w:tr>
    </w:tbl>
    <w:p w:rsidR="00000000" w:rsidDel="00000000" w:rsidP="00000000" w:rsidRDefault="00000000" w:rsidRPr="00000000" w14:paraId="0000017F">
      <w:pPr>
        <w:spacing w:before="240" w:lineRule="auto"/>
        <w:rPr>
          <w:sz w:val="20"/>
          <w:szCs w:val="20"/>
        </w:rPr>
      </w:pPr>
      <w:r w:rsidDel="00000000" w:rsidR="00000000" w:rsidRPr="00000000">
        <w:rPr>
          <w:rtl w:val="0"/>
        </w:rPr>
      </w:r>
    </w:p>
    <w:sectPr>
      <w:headerReference r:id="rId16" w:type="default"/>
      <w:footerReference r:id="rId1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1-06-03T17:09:36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8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3"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6" w:hanging="360.00000000000006"/>
      </w:pPr>
      <w:rPr>
        <w:rFonts w:ascii="Noto Sans Symbols" w:cs="Noto Sans Symbols" w:eastAsia="Noto Sans Symbols" w:hAnsi="Noto Sans Symbols"/>
        <w:vertAlign w:val="baseline"/>
      </w:rPr>
    </w:lvl>
    <w:lvl w:ilvl="1">
      <w:start w:val="1"/>
      <w:numFmt w:val="bullet"/>
      <w:lvlText w:val="o"/>
      <w:lvlJc w:val="left"/>
      <w:pPr>
        <w:ind w:left="1446" w:hanging="360"/>
      </w:pPr>
      <w:rPr>
        <w:rFonts w:ascii="Courier New" w:cs="Courier New" w:eastAsia="Courier New" w:hAnsi="Courier New"/>
        <w:vertAlign w:val="baseline"/>
      </w:rPr>
    </w:lvl>
    <w:lvl w:ilvl="2">
      <w:start w:val="1"/>
      <w:numFmt w:val="bullet"/>
      <w:lvlText w:val="▪"/>
      <w:lvlJc w:val="left"/>
      <w:pPr>
        <w:ind w:left="2166" w:hanging="360"/>
      </w:pPr>
      <w:rPr>
        <w:rFonts w:ascii="Noto Sans Symbols" w:cs="Noto Sans Symbols" w:eastAsia="Noto Sans Symbols" w:hAnsi="Noto Sans Symbols"/>
        <w:vertAlign w:val="baseline"/>
      </w:rPr>
    </w:lvl>
    <w:lvl w:ilvl="3">
      <w:start w:val="1"/>
      <w:numFmt w:val="bullet"/>
      <w:lvlText w:val="●"/>
      <w:lvlJc w:val="left"/>
      <w:pPr>
        <w:ind w:left="2886" w:hanging="360"/>
      </w:pPr>
      <w:rPr>
        <w:rFonts w:ascii="Noto Sans Symbols" w:cs="Noto Sans Symbols" w:eastAsia="Noto Sans Symbols" w:hAnsi="Noto Sans Symbols"/>
        <w:vertAlign w:val="baseline"/>
      </w:rPr>
    </w:lvl>
    <w:lvl w:ilvl="4">
      <w:start w:val="1"/>
      <w:numFmt w:val="bullet"/>
      <w:lvlText w:val="o"/>
      <w:lvlJc w:val="left"/>
      <w:pPr>
        <w:ind w:left="3606" w:hanging="360"/>
      </w:pPr>
      <w:rPr>
        <w:rFonts w:ascii="Courier New" w:cs="Courier New" w:eastAsia="Courier New" w:hAnsi="Courier New"/>
        <w:vertAlign w:val="baseline"/>
      </w:rPr>
    </w:lvl>
    <w:lvl w:ilvl="5">
      <w:start w:val="1"/>
      <w:numFmt w:val="bullet"/>
      <w:lvlText w:val="▪"/>
      <w:lvlJc w:val="left"/>
      <w:pPr>
        <w:ind w:left="4326" w:hanging="360"/>
      </w:pPr>
      <w:rPr>
        <w:rFonts w:ascii="Noto Sans Symbols" w:cs="Noto Sans Symbols" w:eastAsia="Noto Sans Symbols" w:hAnsi="Noto Sans Symbols"/>
        <w:vertAlign w:val="baseline"/>
      </w:rPr>
    </w:lvl>
    <w:lvl w:ilvl="6">
      <w:start w:val="1"/>
      <w:numFmt w:val="bullet"/>
      <w:lvlText w:val="●"/>
      <w:lvlJc w:val="left"/>
      <w:pPr>
        <w:ind w:left="5046" w:hanging="360"/>
      </w:pPr>
      <w:rPr>
        <w:rFonts w:ascii="Noto Sans Symbols" w:cs="Noto Sans Symbols" w:eastAsia="Noto Sans Symbols" w:hAnsi="Noto Sans Symbols"/>
        <w:vertAlign w:val="baseline"/>
      </w:rPr>
    </w:lvl>
    <w:lvl w:ilvl="7">
      <w:start w:val="1"/>
      <w:numFmt w:val="bullet"/>
      <w:lvlText w:val="o"/>
      <w:lvlJc w:val="left"/>
      <w:pPr>
        <w:ind w:left="5766" w:hanging="360"/>
      </w:pPr>
      <w:rPr>
        <w:rFonts w:ascii="Courier New" w:cs="Courier New" w:eastAsia="Courier New" w:hAnsi="Courier New"/>
        <w:vertAlign w:val="baseline"/>
      </w:rPr>
    </w:lvl>
    <w:lvl w:ilvl="8">
      <w:start w:val="1"/>
      <w:numFmt w:val="bullet"/>
      <w:lvlText w:val="▪"/>
      <w:lvlJc w:val="left"/>
      <w:pPr>
        <w:ind w:left="6486"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lvl>
    <w:lvl w:ilvl="1">
      <w:start w:val="2"/>
      <w:numFmt w:val="decimal"/>
      <w:lvlText w:val="%1.%2."/>
      <w:lvlJc w:val="left"/>
      <w:pPr>
        <w:ind w:left="720" w:hanging="360"/>
      </w:pPr>
      <w:rPr>
        <w:b w:val="1"/>
        <w:i w:val="1"/>
      </w:rPr>
    </w:lvl>
    <w:lvl w:ilvl="2">
      <w:start w:val="1"/>
      <w:numFmt w:val="decimal"/>
      <w:lvlText w:val="%1.%2.%3."/>
      <w:lvlJc w:val="left"/>
      <w:pPr>
        <w:ind w:left="1080" w:hanging="720"/>
      </w:pPr>
      <w:rPr>
        <w:b w:val="1"/>
        <w:i w:val="1"/>
      </w:rPr>
    </w:lvl>
    <w:lvl w:ilvl="3">
      <w:start w:val="1"/>
      <w:numFmt w:val="decimal"/>
      <w:lvlText w:val="%1.%2.%3.%4."/>
      <w:lvlJc w:val="left"/>
      <w:pPr>
        <w:ind w:left="1080" w:hanging="720"/>
      </w:pPr>
      <w:rPr>
        <w:b w:val="1"/>
        <w:i w:val="1"/>
      </w:rPr>
    </w:lvl>
    <w:lvl w:ilvl="4">
      <w:start w:val="1"/>
      <w:numFmt w:val="decimal"/>
      <w:lvlText w:val="%1.%2.%3.%4.%5."/>
      <w:lvlJc w:val="left"/>
      <w:pPr>
        <w:ind w:left="1440" w:hanging="1080"/>
      </w:pPr>
      <w:rPr>
        <w:b w:val="1"/>
        <w:i w:val="1"/>
      </w:rPr>
    </w:lvl>
    <w:lvl w:ilvl="5">
      <w:start w:val="1"/>
      <w:numFmt w:val="decimal"/>
      <w:lvlText w:val="%1.%2.%3.%4.%5.%6."/>
      <w:lvlJc w:val="left"/>
      <w:pPr>
        <w:ind w:left="1440" w:hanging="1080"/>
      </w:pPr>
      <w:rPr>
        <w:b w:val="1"/>
        <w:i w:val="1"/>
      </w:rPr>
    </w:lvl>
    <w:lvl w:ilvl="6">
      <w:start w:val="1"/>
      <w:numFmt w:val="decimal"/>
      <w:lvlText w:val="%1.%2.%3.%4.%5.%6.%7."/>
      <w:lvlJc w:val="left"/>
      <w:pPr>
        <w:ind w:left="1800" w:hanging="1440"/>
      </w:pPr>
      <w:rPr>
        <w:b w:val="1"/>
        <w:i w:val="1"/>
      </w:rPr>
    </w:lvl>
    <w:lvl w:ilvl="7">
      <w:start w:val="1"/>
      <w:numFmt w:val="decimal"/>
      <w:lvlText w:val="%1.%2.%3.%4.%5.%6.%7.%8."/>
      <w:lvlJc w:val="left"/>
      <w:pPr>
        <w:ind w:left="1800" w:hanging="1440"/>
      </w:pPr>
      <w:rPr>
        <w:b w:val="1"/>
        <w:i w:val="1"/>
      </w:rPr>
    </w:lvl>
    <w:lvl w:ilvl="8">
      <w:start w:val="1"/>
      <w:numFmt w:val="decimal"/>
      <w:lvlText w:val="%1.%2.%3.%4.%5.%6.%7.%8.%9."/>
      <w:lvlJc w:val="left"/>
      <w:pPr>
        <w:ind w:left="2160" w:hanging="1800"/>
      </w:pPr>
      <w:rPr>
        <w:b w:val="1"/>
        <w:i w:val="1"/>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4E3CC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13" Type="http://schemas.openxmlformats.org/officeDocument/2006/relationships/hyperlink" Target="https://www.ctcp.gov.co/proyectos/contabilidad-e-informacion-financiera/documentos-organismos-internacionales/compilacion-marcos-tecnicos-de-informacion-financi/1534369767-2310" TargetMode="External"/><Relationship Id="rId8" Type="http://schemas.microsoft.com/office/2011/relationships/commentsExtended" Target="commentsExtended.xml"/><Relationship Id="rId18"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suin.gov.co/viewDocument.asp?id=1776952" TargetMode="External"/><Relationship Id="rId17" Type="http://schemas.openxmlformats.org/officeDocument/2006/relationships/footer" Target="footer1.xml"/><Relationship Id="rId7" Type="http://schemas.openxmlformats.org/officeDocument/2006/relationships/customXml" Target="../customXML/item1.xml"/><Relationship Id="rId2" Type="http://schemas.openxmlformats.org/officeDocument/2006/relationships/comments" Target="comments.xml"/><Relationship Id="rId16" Type="http://schemas.openxmlformats.org/officeDocument/2006/relationships/header" Target="header1.xml"/><Relationship Id="rId20" Type="http://schemas.openxmlformats.org/officeDocument/2006/relationships/customXml" Target="../customXML/item4.xml"/><Relationship Id="rId11" Type="http://schemas.openxmlformats.org/officeDocument/2006/relationships/hyperlink" Target="http://www.secretariasenado.gov.co/senado/basedoc/ley_1349_2009.html" TargetMode="External"/><Relationship Id="rId1" Type="http://schemas.openxmlformats.org/officeDocument/2006/relationships/theme" Target="theme/theme1.xml"/><Relationship Id="rId6" Type="http://schemas.openxmlformats.org/officeDocument/2006/relationships/styles" Target="styles.xml"/><Relationship Id="rId15" Type="http://schemas.openxmlformats.org/officeDocument/2006/relationships/hyperlink" Target="https://www.pwc.com/cl/es/ifrs/assets/grifrs_2008.pdf" TargetMode="External"/><Relationship Id="rId5" Type="http://schemas.openxmlformats.org/officeDocument/2006/relationships/numbering" Target="numbering.xml"/><Relationship Id="rId10" Type="http://schemas.openxmlformats.org/officeDocument/2006/relationships/hyperlink" Target="https://ebookcentraroquestcom.bdigital.sena.edu.co/lib/senavirtualsp/detail.action?docID=3161303" TargetMode="External"/><Relationship Id="rId19"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yperlink" Target="https://www.pw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1Ml/RCoaeavCdHZ/pGtNpcVCg==">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</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3B890F2-2D7A-43A9-BE6E-AEFCD69C162B}"/>
</file>

<file path=customXML/itemProps3.xml><?xml version="1.0" encoding="utf-8"?>
<ds:datastoreItem xmlns:ds="http://schemas.openxmlformats.org/officeDocument/2006/customXml" ds:itemID="{01960D00-16CD-4AE0-AF63-502752AFD71F}"/>
</file>

<file path=customXML/itemProps4.xml><?xml version="1.0" encoding="utf-8"?>
<ds:datastoreItem xmlns:ds="http://schemas.openxmlformats.org/officeDocument/2006/customXml" ds:itemID="{703F15EC-4ADE-4A0B-BA28-70F31DD941B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2021-02-11T22:20:00Z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