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2060"/>
        <w:tblGridChange w:id="0">
          <w:tblGrid>
            <w:gridCol w:w="2340"/>
            <w:gridCol w:w="1206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2"/>
            <w:shd w:fill="fbe4c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641" w:right="46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Infografía interactiva (Ventanas modales)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demanda de acuerdo con el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introductorio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demanda de información y de servicios de información puede, de acuerdo con el uso, tipificarse de la siguiente manera:</w:t>
            </w:r>
          </w:p>
        </w:tc>
      </w:tr>
      <w:tr>
        <w:trPr>
          <w:cantSplit w:val="0"/>
          <w:trHeight w:val="57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72050" cy="26384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https://t3.ftcdn.net/jpg/03/27/08/18/240_F_327081863_6vVMIbDRUCQZ2GCNxIFuaZqdpXuktrDq.jpg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  <w:sectPr>
          <w:headerReference r:id="rId8" w:type="default"/>
          <w:pgSz w:h="12240" w:w="15840" w:orient="landscape"/>
          <w:pgMar w:bottom="280" w:top="2080" w:left="620" w:right="58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880"/>
        <w:gridCol w:w="5080"/>
        <w:gridCol w:w="5100"/>
        <w:tblGridChange w:id="0">
          <w:tblGrid>
            <w:gridCol w:w="2340"/>
            <w:gridCol w:w="1880"/>
            <w:gridCol w:w="5080"/>
            <w:gridCol w:w="510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1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Indicaciones para la producción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un esquema infográfico como este, se numeran los tipos de demanda. Se numeran los botones de la infografía (7) y aparecen en ellos, solamente, los nombres de cada tipo de demanda. Al clicarlos aparecerá la información que los completa y define.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25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Ruta en drive de la imagen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10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potencial individual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trata del nivel máximo de solicitud o uso de los elementos del servicio bibliotecario que tenga un usuario identificado o una mínima porción identificada del grupo total de usuarios.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06038" cy="1273393"/>
                  <wp:effectExtent b="0" l="0" r="0" t="0"/>
                  <wp:docPr descr="Reading Icon - Illustration" id="7" name="image6.jpg"/>
                  <a:graphic>
                    <a:graphicData uri="http://schemas.openxmlformats.org/drawingml/2006/picture">
                      <pic:pic>
                        <pic:nvPicPr>
                          <pic:cNvPr descr="Reading Icon - Illustration"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38" cy="12733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https://t4.ftcdn.net/jpg/01/67/63/49/240_F_167634995_QC2PZNvXV0iAC1eOXKjxf5udk0M1MCjc.jpg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6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potencial grupal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trata de las posibilidades de conquista que, sobre determinada cantidad de usuarios de la biblioteca, tengan los elementos de la oferta y/o servicios prestados en ella.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49207" cy="1060220"/>
                  <wp:effectExtent b="0" l="0" r="0" t="0"/>
                  <wp:docPr descr="Distance learning. Online education vector illustration" id="6" name="image4.jpg"/>
                  <a:graphic>
                    <a:graphicData uri="http://schemas.openxmlformats.org/drawingml/2006/picture">
                      <pic:pic>
                        <pic:nvPicPr>
                          <pic:cNvPr descr="Distance learning. Online education vector illustration"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207" cy="1060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https://t3.ftcdn.net/jpg/04/56/67/90/240_F_456679071_JAuB59civnrqWUgVBuMsCNYRUz965SgX.jpg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10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expresada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refiere a las expectativas claramente manifestadas por los usuarios sobre los servicios bibliotecarios y oferta de la biblioteca. Es una demanda fácil de identificar y que se percibe por diferentes mecanismos de comunicación entre usuarios y biblioteca.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25606" cy="1182258"/>
                  <wp:effectExtent b="0" l="0" r="0" t="0"/>
                  <wp:docPr descr="Group of people reading and borrowing books" id="9" name="image7.jpg"/>
                  <a:graphic>
                    <a:graphicData uri="http://schemas.openxmlformats.org/drawingml/2006/picture">
                      <pic:pic>
                        <pic:nvPicPr>
                          <pic:cNvPr descr="Group of people reading and borrowing books"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6" cy="11822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https://t4.ftcdn.net/jpg/02/35/58/35/240_F_235583520_yLFPy0icFdVFzOG7CUE4xcBb8pBZXvUL.jpg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potencial total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Hace referencia a las posibilidades máximas de solicitud o requerimiento que los elementos de la oferta y/o servicios que se presten en la biblioteca por parte de la totalidad de los usuarios o una mayoría identificada de ellos.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57137" cy="1167852"/>
                  <wp:effectExtent b="0" l="0" r="0" t="0"/>
                  <wp:docPr descr="People study education online, vector illustration. Flat university student with knowledge book concept. Business school design library, graphic technology banner and character learn literature." id="8" name="image5.jpg"/>
                  <a:graphic>
                    <a:graphicData uri="http://schemas.openxmlformats.org/drawingml/2006/picture">
                      <pic:pic>
                        <pic:nvPicPr>
                          <pic:cNvPr descr="People study education online, vector illustration. Flat university student with knowledge book concept. Business school design library, graphic technology banner and character learn literature." id="0" name="image5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137" cy="11678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https://t3.ftcdn.net/jpg/03/83/51/08/240_F_383510889_YK9mHSMICSsbRz8w9eTn2KaGwRk0Orsm.jpg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5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no expresada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trata de aquellos aspectos de necesidad o expectativa que tienen los usuarios sobre los servicios bibliotecarios, pero que no son identificados bajo ningún mecanismo ni expresados a la biblioteca.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89579" cy="1190705"/>
                  <wp:effectExtent b="0" l="0" r="0" t="0"/>
                  <wp:docPr descr="Student learn online at home. Character sit and look at laptop. Studying character with exercise books. Online education or courses at university or college. Distance learning degree for graduate." id="3" name="image3.jpg"/>
                  <a:graphic>
                    <a:graphicData uri="http://schemas.openxmlformats.org/drawingml/2006/picture">
                      <pic:pic>
                        <pic:nvPicPr>
                          <pic:cNvPr descr="Student learn online at home. Character sit and look at laptop. Studying character with exercise books. Online education or courses at university or college. Distance learning degree for graduate." id="0" name="image3.jpg"/>
                          <pic:cNvPicPr preferRelativeResize="0"/>
                        </pic:nvPicPr>
                        <pic:blipFill>
                          <a:blip r:embed="rId17"/>
                          <a:srcRect b="0" l="36686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579" cy="1190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https://t3.ftcdn.net/jpg/04/97/06/82/240_F_497068231_oFH76FYKdVZ5E0mdXdV8E3WI2mvRCsDY.jpg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6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6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no satisfecha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refiere a la imposibilidad total o parcial de cumplir con las expectativas, exigencias o necesidades que, del servicio de la biblioteca, tengan los usuarios (bien sea de manera individual, grupal o total).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681155" cy="998745"/>
                  <wp:effectExtent b="0" l="0" r="0" t="0"/>
                  <wp:docPr descr="消費税の軽減税率に疑問を抱く男子高校生　新聞と文房具" id="2" name="image2.jpg"/>
                  <a:graphic>
                    <a:graphicData uri="http://schemas.openxmlformats.org/drawingml/2006/picture">
                      <pic:pic>
                        <pic:nvPicPr>
                          <pic:cNvPr descr="消費税の軽減税率に疑問を抱く男子高校生　新聞と文房具" id="0" name="image2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55" cy="998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https://t4.ftcdn.net/jpg/02/84/78/45/240_F_284784512_MBIacC1CRd8rqZJbkuOpPJqIfFYWwMK9.jpg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82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7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satisfecha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Refiere al cumplimiento total de las expectativas, exigencia o necesidades que, del servicio bibliotecario, tengan los usuarios (individual, grupal o totalmente).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59248" cy="929624"/>
                  <wp:effectExtent b="0" l="0" r="0" t="0"/>
                  <wp:docPr descr="Importance de la culture et de l’éducation dans la réussite professionnelle, avec un homme qui franchit un obstacle grâce à un livre qui lui sert de pont." id="4" name="image8.jpg"/>
                  <a:graphic>
                    <a:graphicData uri="http://schemas.openxmlformats.org/drawingml/2006/picture">
                      <pic:pic>
                        <pic:nvPicPr>
                          <pic:cNvPr descr="Importance de la culture et de l’éducation dans la réussite professionnelle, avec un homme qui franchit un obstacle grâce à un livre qui lui sert de pont." id="0" name="image8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48" cy="9296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https://t3.ftcdn.net/jpg/04/41/40/22/240_F_441402237_PWpDaMjob2xyjlybvgDYMQMvbvUsV0ZL.jpg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2080" w:left="620" w:right="5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14.399999999999999" w:lineRule="auto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109220</wp:posOffset>
              </wp:positionH>
              <wp:positionV relativeFrom="page">
                <wp:posOffset>0</wp:posOffset>
              </wp:positionV>
              <wp:extent cx="9949180" cy="132397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0775" y="3118013"/>
                        <a:ext cx="9949180" cy="1323975"/>
                        <a:chOff x="370775" y="3118013"/>
                        <a:chExt cx="9949180" cy="1323975"/>
                      </a:xfrm>
                    </wpg:grpSpPr>
                    <wpg:grpSp>
                      <wpg:cNvGrpSpPr/>
                      <wpg:grpSpPr>
                        <a:xfrm>
                          <a:off x="370775" y="3118013"/>
                          <a:ext cx="9949180" cy="1323975"/>
                          <a:chOff x="172" y="0"/>
                          <a:chExt cx="15668" cy="208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3" y="0"/>
                            <a:ext cx="15650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20" y="555"/>
                            <a:ext cx="9600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2" y="0"/>
                            <a:ext cx="15668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109220</wp:posOffset>
              </wp:positionH>
              <wp:positionV relativeFrom="page">
                <wp:posOffset>0</wp:posOffset>
              </wp:positionV>
              <wp:extent cx="9949180" cy="132397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49180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4.ftcdn.net/jpg/02/84/78/45/240_F_284784512_MBIacC1CRd8rqZJbkuOpPJqIfFYWwMK9.jpg" TargetMode="External"/><Relationship Id="rId11" Type="http://schemas.openxmlformats.org/officeDocument/2006/relationships/image" Target="media/image4.jpg"/><Relationship Id="rId22" Type="http://schemas.openxmlformats.org/officeDocument/2006/relationships/hyperlink" Target="https://t3.ftcdn.net/jpg/04/41/40/22/240_F_441402237_PWpDaMjob2xyjlybvgDYMQMvbvUsV0ZL.jpg" TargetMode="External"/><Relationship Id="rId10" Type="http://schemas.openxmlformats.org/officeDocument/2006/relationships/hyperlink" Target="https://t4.ftcdn.net/jpg/01/67/63/49/240_F_167634995_QC2PZNvXV0iAC1eOXKjxf5udk0M1MCjc.jpg" TargetMode="External"/><Relationship Id="rId21" Type="http://schemas.openxmlformats.org/officeDocument/2006/relationships/image" Target="media/image8.jpg"/><Relationship Id="rId13" Type="http://schemas.openxmlformats.org/officeDocument/2006/relationships/image" Target="media/image7.jpg"/><Relationship Id="rId12" Type="http://schemas.openxmlformats.org/officeDocument/2006/relationships/hyperlink" Target="https://t3.ftcdn.net/jpg/04/56/67/90/240_F_456679071_JAuB59civnrqWUgVBuMsCNYRUz965SgX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5.jpg"/><Relationship Id="rId14" Type="http://schemas.openxmlformats.org/officeDocument/2006/relationships/hyperlink" Target="https://t4.ftcdn.net/jpg/02/35/58/35/240_F_235583520_yLFPy0icFdVFzOG7CUE4xcBb8pBZXvUL.jpg" TargetMode="External"/><Relationship Id="rId17" Type="http://schemas.openxmlformats.org/officeDocument/2006/relationships/image" Target="media/image3.jpg"/><Relationship Id="rId16" Type="http://schemas.openxmlformats.org/officeDocument/2006/relationships/hyperlink" Target="https://t3.ftcdn.net/jpg/03/83/51/08/240_F_383510889_YK9mHSMICSsbRz8w9eTn2KaGwRk0Orsm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.png"/><Relationship Id="rId18" Type="http://schemas.openxmlformats.org/officeDocument/2006/relationships/hyperlink" Target="https://t3.ftcdn.net/jpg/04/97/06/82/240_F_497068231_oFH76FYKdVZ5E0mdXdV8E3WI2mvRCsDY.jpg" TargetMode="External"/><Relationship Id="rId7" Type="http://schemas.openxmlformats.org/officeDocument/2006/relationships/hyperlink" Target="https://t3.ftcdn.net/jpg/03/27/08/18/240_F_327081863_6vVMIbDRUCQZ2GCNxIFuaZqdpXuktrDq.jp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